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20" w:rsidRPr="00284764" w:rsidRDefault="00185420" w:rsidP="005C0020">
      <w:pPr>
        <w:spacing w:line="320" w:lineRule="atLeast"/>
        <w:jc w:val="center"/>
        <w:rPr>
          <w:rFonts w:ascii="Times New Roman" w:hAnsi="Times New Roman" w:cs="Times New Roman"/>
          <w:b/>
          <w:sz w:val="24"/>
          <w:szCs w:val="24"/>
        </w:rPr>
      </w:pPr>
      <w:r w:rsidRPr="00284764">
        <w:rPr>
          <w:rFonts w:ascii="Times New Roman" w:hAnsi="Times New Roman" w:cs="Times New Roman"/>
          <w:b/>
          <w:sz w:val="24"/>
          <w:szCs w:val="24"/>
        </w:rPr>
        <w:t xml:space="preserve">SPREMEMBA </w:t>
      </w:r>
      <w:r w:rsidR="005C0020" w:rsidRPr="00284764">
        <w:rPr>
          <w:rFonts w:ascii="Times New Roman" w:hAnsi="Times New Roman" w:cs="Times New Roman"/>
          <w:b/>
          <w:sz w:val="24"/>
          <w:szCs w:val="24"/>
        </w:rPr>
        <w:t>TARIFE NADOMESTIL STROŠKOV ZA POSREDOVANJE PODATKOV O TRANSAKCIJSKIH RAČUNIH FIZIČNIH OSEB  IZ REGISTRA TRANSAKCIJSKIH RAČUNOV</w:t>
      </w:r>
    </w:p>
    <w:p w:rsidR="005C0020" w:rsidRPr="00284764" w:rsidRDefault="005C0020" w:rsidP="005C0020">
      <w:pPr>
        <w:spacing w:line="320" w:lineRule="atLeast"/>
        <w:rPr>
          <w:rFonts w:ascii="Times New Roman" w:hAnsi="Times New Roman" w:cs="Times New Roman"/>
          <w:sz w:val="24"/>
          <w:szCs w:val="24"/>
        </w:rPr>
      </w:pPr>
    </w:p>
    <w:p w:rsidR="005C0020" w:rsidRPr="00284764" w:rsidRDefault="005C0020" w:rsidP="005C0020">
      <w:pPr>
        <w:spacing w:line="320" w:lineRule="atLeast"/>
        <w:rPr>
          <w:rFonts w:ascii="Times New Roman" w:hAnsi="Times New Roman" w:cs="Times New Roman"/>
          <w:b/>
          <w:sz w:val="24"/>
          <w:szCs w:val="24"/>
        </w:rPr>
      </w:pPr>
      <w:r w:rsidRPr="00284764">
        <w:rPr>
          <w:rFonts w:ascii="Times New Roman" w:hAnsi="Times New Roman" w:cs="Times New Roman"/>
          <w:b/>
          <w:sz w:val="24"/>
          <w:szCs w:val="24"/>
        </w:rPr>
        <w:t xml:space="preserve">I.   </w:t>
      </w:r>
      <w:r w:rsidRPr="00284764">
        <w:rPr>
          <w:rFonts w:ascii="Times New Roman" w:hAnsi="Times New Roman" w:cs="Times New Roman"/>
          <w:b/>
          <w:sz w:val="24"/>
          <w:szCs w:val="24"/>
        </w:rPr>
        <w:tab/>
        <w:t>UVOD</w:t>
      </w:r>
    </w:p>
    <w:p w:rsidR="005C0020" w:rsidRPr="00284764" w:rsidRDefault="005C0020" w:rsidP="005C0020">
      <w:pPr>
        <w:pStyle w:val="doc"/>
        <w:spacing w:line="240" w:lineRule="auto"/>
        <w:rPr>
          <w:rFonts w:ascii="Times New Roman" w:hAnsi="Times New Roman" w:cs="Times New Roman"/>
          <w:b/>
          <w:color w:val="000000" w:themeColor="text1"/>
          <w:sz w:val="24"/>
          <w:szCs w:val="24"/>
        </w:rPr>
      </w:pPr>
      <w:r w:rsidRPr="00284764">
        <w:rPr>
          <w:rFonts w:ascii="Times New Roman" w:hAnsi="Times New Roman" w:cs="Times New Roman"/>
          <w:b/>
          <w:sz w:val="24"/>
          <w:szCs w:val="24"/>
        </w:rPr>
        <w:t xml:space="preserve">1.        Ocena stanja in razlogi </w:t>
      </w:r>
      <w:r w:rsidRPr="00284764">
        <w:rPr>
          <w:rFonts w:ascii="Times New Roman" w:hAnsi="Times New Roman" w:cs="Times New Roman"/>
          <w:b/>
          <w:color w:val="000000" w:themeColor="text1"/>
          <w:sz w:val="24"/>
          <w:szCs w:val="24"/>
        </w:rPr>
        <w:t>za spremembo tarife</w:t>
      </w:r>
    </w:p>
    <w:p w:rsidR="005C0020" w:rsidRPr="00284764" w:rsidRDefault="005C0020" w:rsidP="005C0020">
      <w:pPr>
        <w:spacing w:after="0" w:line="320" w:lineRule="atLeast"/>
        <w:jc w:val="both"/>
        <w:rPr>
          <w:rFonts w:ascii="Times New Roman" w:hAnsi="Times New Roman" w:cs="Times New Roman"/>
          <w:sz w:val="24"/>
          <w:szCs w:val="24"/>
        </w:rPr>
      </w:pPr>
    </w:p>
    <w:p w:rsidR="005C0020" w:rsidRPr="0077165D" w:rsidRDefault="0098521B" w:rsidP="005C0020">
      <w:pPr>
        <w:spacing w:after="0" w:line="320" w:lineRule="atLeast"/>
        <w:jc w:val="both"/>
        <w:rPr>
          <w:rFonts w:ascii="Times New Roman" w:hAnsi="Times New Roman" w:cs="Times New Roman"/>
          <w:sz w:val="24"/>
          <w:szCs w:val="24"/>
        </w:rPr>
      </w:pPr>
      <w:r w:rsidRPr="0077165D">
        <w:rPr>
          <w:rFonts w:ascii="Times New Roman" w:hAnsi="Times New Roman" w:cs="Times New Roman"/>
          <w:sz w:val="24"/>
          <w:szCs w:val="24"/>
        </w:rPr>
        <w:t>AJPES je</w:t>
      </w:r>
      <w:r w:rsidR="005C0020" w:rsidRPr="0077165D">
        <w:rPr>
          <w:rFonts w:ascii="Times New Roman" w:hAnsi="Times New Roman" w:cs="Times New Roman"/>
          <w:sz w:val="24"/>
          <w:szCs w:val="24"/>
        </w:rPr>
        <w:t xml:space="preserve"> prevzemom vodenja Registra transakcijskih računov (v nadaljnjem besedilu: RTR), ki ga je do </w:t>
      </w:r>
      <w:r w:rsidRPr="0077165D">
        <w:rPr>
          <w:rFonts w:ascii="Times New Roman" w:hAnsi="Times New Roman" w:cs="Times New Roman"/>
          <w:sz w:val="24"/>
          <w:szCs w:val="24"/>
        </w:rPr>
        <w:t>1.7.2010 vodila Banka Slovenje na 22. redni seji Sveta A</w:t>
      </w:r>
      <w:r w:rsidR="00261783">
        <w:rPr>
          <w:rFonts w:ascii="Times New Roman" w:hAnsi="Times New Roman" w:cs="Times New Roman"/>
          <w:sz w:val="24"/>
          <w:szCs w:val="24"/>
        </w:rPr>
        <w:t>JPES, ki je bila v četrtek, 10.6.</w:t>
      </w:r>
      <w:r w:rsidRPr="0077165D">
        <w:rPr>
          <w:rFonts w:ascii="Times New Roman" w:hAnsi="Times New Roman" w:cs="Times New Roman"/>
          <w:sz w:val="24"/>
          <w:szCs w:val="24"/>
        </w:rPr>
        <w:t>2010</w:t>
      </w:r>
      <w:r w:rsidR="0077165D" w:rsidRPr="0077165D">
        <w:rPr>
          <w:rFonts w:ascii="Times New Roman" w:hAnsi="Times New Roman" w:cs="Times New Roman"/>
          <w:sz w:val="24"/>
          <w:szCs w:val="24"/>
        </w:rPr>
        <w:t>,</w:t>
      </w:r>
      <w:r w:rsidRPr="0077165D">
        <w:rPr>
          <w:rFonts w:ascii="Times New Roman" w:hAnsi="Times New Roman" w:cs="Times New Roman"/>
          <w:sz w:val="24"/>
          <w:szCs w:val="24"/>
        </w:rPr>
        <w:t xml:space="preserve"> </w:t>
      </w:r>
      <w:r w:rsidR="005C0020" w:rsidRPr="0077165D">
        <w:rPr>
          <w:rFonts w:ascii="Times New Roman" w:hAnsi="Times New Roman" w:cs="Times New Roman"/>
          <w:sz w:val="24"/>
          <w:szCs w:val="24"/>
        </w:rPr>
        <w:t>na podlagi sedmega odstavka 147. člena Zakona o plačilnih storitvah in sistemih (</w:t>
      </w:r>
      <w:r w:rsidR="005C0020" w:rsidRPr="0077165D">
        <w:rPr>
          <w:rFonts w:ascii="Times New Roman" w:hAnsi="Times New Roman" w:cs="Times New Roman"/>
          <w:bCs/>
          <w:sz w:val="24"/>
          <w:szCs w:val="24"/>
        </w:rPr>
        <w:t>Uradni list RS, št. 58/09, 34/10</w:t>
      </w:r>
      <w:r w:rsidR="005C0020" w:rsidRPr="0077165D">
        <w:rPr>
          <w:rFonts w:ascii="Times New Roman" w:hAnsi="Times New Roman" w:cs="Times New Roman"/>
          <w:sz w:val="24"/>
          <w:szCs w:val="24"/>
        </w:rPr>
        <w:t>, 9/11 in 32/12; v nadalj</w:t>
      </w:r>
      <w:r w:rsidRPr="0077165D">
        <w:rPr>
          <w:rFonts w:ascii="Times New Roman" w:hAnsi="Times New Roman" w:cs="Times New Roman"/>
          <w:sz w:val="24"/>
          <w:szCs w:val="24"/>
        </w:rPr>
        <w:t>njem besedilu: ZPlaSS) določil T</w:t>
      </w:r>
      <w:r w:rsidR="005C0020" w:rsidRPr="0077165D">
        <w:rPr>
          <w:rFonts w:ascii="Times New Roman" w:hAnsi="Times New Roman" w:cs="Times New Roman"/>
          <w:sz w:val="24"/>
          <w:szCs w:val="24"/>
        </w:rPr>
        <w:t xml:space="preserve">arifo nadomestil stroškov za posredovanje podatkov iz </w:t>
      </w:r>
      <w:r w:rsidR="0077165D" w:rsidRPr="0077165D">
        <w:rPr>
          <w:rFonts w:ascii="Times New Roman" w:hAnsi="Times New Roman" w:cs="Times New Roman"/>
          <w:bCs/>
          <w:sz w:val="24"/>
          <w:szCs w:val="24"/>
        </w:rPr>
        <w:t xml:space="preserve">registra transakcijskih računov ( v nadaljnjem besedilu: Tarifa) </w:t>
      </w:r>
      <w:r w:rsidRPr="0077165D">
        <w:rPr>
          <w:rFonts w:ascii="Times New Roman" w:hAnsi="Times New Roman" w:cs="Times New Roman"/>
          <w:sz w:val="24"/>
          <w:szCs w:val="24"/>
        </w:rPr>
        <w:t>h kat</w:t>
      </w:r>
      <w:r w:rsidR="0077165D" w:rsidRPr="0077165D">
        <w:rPr>
          <w:rFonts w:ascii="Times New Roman" w:hAnsi="Times New Roman" w:cs="Times New Roman"/>
          <w:sz w:val="24"/>
          <w:szCs w:val="24"/>
        </w:rPr>
        <w:t>eri je dal</w:t>
      </w:r>
      <w:r w:rsidRPr="0077165D">
        <w:rPr>
          <w:rFonts w:ascii="Times New Roman" w:hAnsi="Times New Roman" w:cs="Times New Roman"/>
          <w:sz w:val="24"/>
          <w:szCs w:val="24"/>
        </w:rPr>
        <w:t xml:space="preserve"> sogla</w:t>
      </w:r>
      <w:r w:rsidR="0077165D" w:rsidRPr="0077165D">
        <w:rPr>
          <w:rFonts w:ascii="Times New Roman" w:hAnsi="Times New Roman" w:cs="Times New Roman"/>
          <w:sz w:val="24"/>
          <w:szCs w:val="24"/>
        </w:rPr>
        <w:t>sje tedanji minister za finance. Tarifa</w:t>
      </w:r>
      <w:r w:rsidRPr="0077165D">
        <w:rPr>
          <w:rFonts w:ascii="Times New Roman" w:hAnsi="Times New Roman" w:cs="Times New Roman"/>
          <w:sz w:val="24"/>
          <w:szCs w:val="24"/>
        </w:rPr>
        <w:t xml:space="preserve"> je bila objavljena v Uradnem listu RS, </w:t>
      </w:r>
      <w:r w:rsidR="0077165D">
        <w:rPr>
          <w:rFonts w:ascii="Times New Roman" w:hAnsi="Times New Roman" w:cs="Times New Roman"/>
          <w:sz w:val="24"/>
          <w:szCs w:val="24"/>
        </w:rPr>
        <w:t xml:space="preserve">št. 49 z dne 18.6.2010 </w:t>
      </w:r>
      <w:r w:rsidRPr="0077165D">
        <w:rPr>
          <w:rFonts w:ascii="Times New Roman" w:hAnsi="Times New Roman" w:cs="Times New Roman"/>
          <w:sz w:val="24"/>
          <w:szCs w:val="24"/>
        </w:rPr>
        <w:t>in je začela veljati 1. julija 2010.</w:t>
      </w:r>
      <w:r w:rsidR="005C0020" w:rsidRPr="0077165D">
        <w:rPr>
          <w:rFonts w:ascii="Times New Roman" w:hAnsi="Times New Roman" w:cs="Times New Roman"/>
          <w:sz w:val="24"/>
          <w:szCs w:val="24"/>
        </w:rPr>
        <w:t xml:space="preserve"> Pri izračunu nadomestil stroškov je AJPES izhajal iz ocenjenih celotnih stroškov navedene javne storitve ob upoštevanju števila vloženih zahtev (poizvedb</w:t>
      </w:r>
      <w:r w:rsidR="00A663AF" w:rsidRPr="0077165D">
        <w:rPr>
          <w:rFonts w:ascii="Times New Roman" w:hAnsi="Times New Roman" w:cs="Times New Roman"/>
          <w:sz w:val="24"/>
          <w:szCs w:val="24"/>
        </w:rPr>
        <w:t xml:space="preserve">) </w:t>
      </w:r>
      <w:r w:rsidR="005C0020" w:rsidRPr="0077165D">
        <w:rPr>
          <w:rFonts w:ascii="Times New Roman" w:hAnsi="Times New Roman" w:cs="Times New Roman"/>
          <w:sz w:val="24"/>
          <w:szCs w:val="24"/>
        </w:rPr>
        <w:t>pri Banki Slovenije v letu 2009, kar je bilo ocenjeno na 63.408 vloženih zahtev (poizvedb).</w:t>
      </w:r>
    </w:p>
    <w:p w:rsidR="00BD50AF" w:rsidRPr="00284764" w:rsidRDefault="00BD50AF" w:rsidP="005C0020">
      <w:pPr>
        <w:spacing w:after="0" w:line="320" w:lineRule="atLeast"/>
        <w:jc w:val="both"/>
        <w:rPr>
          <w:rFonts w:ascii="Times New Roman" w:hAnsi="Times New Roman" w:cs="Times New Roman"/>
          <w:sz w:val="24"/>
          <w:szCs w:val="24"/>
        </w:rPr>
      </w:pPr>
    </w:p>
    <w:p w:rsidR="00BD50AF" w:rsidRPr="00284764" w:rsidRDefault="00BD50AF" w:rsidP="00BD50AF">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Razlog </w:t>
      </w:r>
      <w:r w:rsidR="0077165D">
        <w:rPr>
          <w:rFonts w:ascii="Times New Roman" w:hAnsi="Times New Roman" w:cs="Times New Roman"/>
          <w:sz w:val="24"/>
          <w:szCs w:val="24"/>
        </w:rPr>
        <w:t>za pripravo predloga spremembe T</w:t>
      </w:r>
      <w:r w:rsidRPr="00284764">
        <w:rPr>
          <w:rFonts w:ascii="Times New Roman" w:hAnsi="Times New Roman" w:cs="Times New Roman"/>
          <w:sz w:val="24"/>
          <w:szCs w:val="24"/>
        </w:rPr>
        <w:t xml:space="preserve">arife je povečanje skupnih stroškov reševanja poizvedb v primerjavi z izhodiščnimi, upoštevani v sedaj veljavni </w:t>
      </w:r>
      <w:r w:rsidR="0077165D">
        <w:rPr>
          <w:rFonts w:ascii="Times New Roman" w:hAnsi="Times New Roman" w:cs="Times New Roman"/>
          <w:sz w:val="24"/>
          <w:szCs w:val="24"/>
        </w:rPr>
        <w:t>T</w:t>
      </w:r>
      <w:r w:rsidRPr="00284764">
        <w:rPr>
          <w:rFonts w:ascii="Times New Roman" w:hAnsi="Times New Roman" w:cs="Times New Roman"/>
          <w:sz w:val="24"/>
          <w:szCs w:val="24"/>
        </w:rPr>
        <w:t xml:space="preserve">arifi (v letu 2013 so se le-ti v primerjavi z letom 2010 povečali za dobro tretjino </w:t>
      </w:r>
      <w:r w:rsidR="0077165D">
        <w:rPr>
          <w:rFonts w:ascii="Times New Roman" w:hAnsi="Times New Roman" w:cs="Times New Roman"/>
          <w:sz w:val="24"/>
          <w:szCs w:val="24"/>
        </w:rPr>
        <w:t>tj.</w:t>
      </w:r>
      <w:r w:rsidRPr="00284764">
        <w:rPr>
          <w:rFonts w:ascii="Times New Roman" w:hAnsi="Times New Roman" w:cs="Times New Roman"/>
          <w:sz w:val="24"/>
          <w:szCs w:val="24"/>
        </w:rPr>
        <w:t xml:space="preserve"> za 35 %) v večji meri na račun povečanja stroškov dela oziroma števila uslužbencev na rešev</w:t>
      </w:r>
      <w:r w:rsidR="0077165D">
        <w:rPr>
          <w:rFonts w:ascii="Times New Roman" w:hAnsi="Times New Roman" w:cs="Times New Roman"/>
          <w:sz w:val="24"/>
          <w:szCs w:val="24"/>
        </w:rPr>
        <w:t>anju poizvedb (za 1,4 uslužbenca</w:t>
      </w:r>
      <w:r w:rsidRPr="00284764">
        <w:rPr>
          <w:rFonts w:ascii="Times New Roman" w:hAnsi="Times New Roman" w:cs="Times New Roman"/>
          <w:sz w:val="24"/>
          <w:szCs w:val="24"/>
        </w:rPr>
        <w:t xml:space="preserve"> v primerjavi z letom 2010).</w:t>
      </w:r>
    </w:p>
    <w:p w:rsidR="005C0020" w:rsidRPr="00284764" w:rsidRDefault="005C0020" w:rsidP="005C0020">
      <w:pPr>
        <w:spacing w:line="320" w:lineRule="atLeast"/>
        <w:rPr>
          <w:rFonts w:ascii="Times New Roman" w:hAnsi="Times New Roman" w:cs="Times New Roman"/>
          <w:sz w:val="24"/>
          <w:szCs w:val="24"/>
        </w:rPr>
      </w:pPr>
      <w:r w:rsidRPr="00284764">
        <w:rPr>
          <w:rFonts w:ascii="Times New Roman" w:hAnsi="Times New Roman" w:cs="Times New Roman"/>
          <w:sz w:val="24"/>
          <w:szCs w:val="24"/>
        </w:rPr>
        <w:t xml:space="preserve">Ekonomska podlaga za </w:t>
      </w:r>
      <w:r w:rsidR="0077165D">
        <w:rPr>
          <w:rFonts w:ascii="Times New Roman" w:hAnsi="Times New Roman" w:cs="Times New Roman"/>
          <w:sz w:val="24"/>
          <w:szCs w:val="24"/>
        </w:rPr>
        <w:t>spremembo</w:t>
      </w:r>
      <w:r w:rsidRPr="00284764">
        <w:rPr>
          <w:rFonts w:ascii="Times New Roman" w:hAnsi="Times New Roman" w:cs="Times New Roman"/>
          <w:sz w:val="24"/>
          <w:szCs w:val="24"/>
        </w:rPr>
        <w:t xml:space="preserve"> </w:t>
      </w:r>
      <w:r w:rsidR="0077165D">
        <w:rPr>
          <w:rFonts w:ascii="Times New Roman" w:hAnsi="Times New Roman" w:cs="Times New Roman"/>
          <w:sz w:val="24"/>
          <w:szCs w:val="24"/>
        </w:rPr>
        <w:t>T</w:t>
      </w:r>
      <w:r w:rsidRPr="00284764">
        <w:rPr>
          <w:rFonts w:ascii="Times New Roman" w:hAnsi="Times New Roman" w:cs="Times New Roman"/>
          <w:sz w:val="24"/>
          <w:szCs w:val="24"/>
        </w:rPr>
        <w:t>arife so podatki analize dejanskih stroškov, nastalih v zadnjem triletnem obdobju, v zvezi z navedeno storitvijo, prikazani v naslednji preglednici:</w:t>
      </w:r>
    </w:p>
    <w:p w:rsidR="00673106" w:rsidRDefault="00673106" w:rsidP="005C0020">
      <w:pPr>
        <w:rPr>
          <w:rFonts w:ascii="Times New Roman" w:hAnsi="Times New Roman" w:cs="Times New Roman"/>
          <w:b/>
          <w:sz w:val="24"/>
          <w:szCs w:val="24"/>
        </w:rPr>
      </w:pPr>
    </w:p>
    <w:p w:rsidR="005C0020" w:rsidRPr="00284764" w:rsidRDefault="005C0020" w:rsidP="005C0020">
      <w:pPr>
        <w:rPr>
          <w:rFonts w:ascii="Times New Roman" w:hAnsi="Times New Roman" w:cs="Times New Roman"/>
          <w:sz w:val="24"/>
          <w:szCs w:val="24"/>
        </w:rPr>
      </w:pPr>
      <w:r w:rsidRPr="00284764">
        <w:rPr>
          <w:rFonts w:ascii="Times New Roman" w:hAnsi="Times New Roman" w:cs="Times New Roman"/>
          <w:b/>
          <w:sz w:val="24"/>
          <w:szCs w:val="24"/>
        </w:rPr>
        <w:t>Preglednica 1</w:t>
      </w:r>
      <w:r w:rsidR="00986648">
        <w:rPr>
          <w:rFonts w:ascii="Times New Roman" w:hAnsi="Times New Roman" w:cs="Times New Roman"/>
          <w:b/>
          <w:sz w:val="24"/>
          <w:szCs w:val="24"/>
        </w:rPr>
        <w:t xml:space="preserve">. </w:t>
      </w:r>
      <w:r w:rsidRPr="00284764">
        <w:rPr>
          <w:rFonts w:ascii="Times New Roman" w:hAnsi="Times New Roman" w:cs="Times New Roman"/>
          <w:b/>
          <w:sz w:val="24"/>
          <w:szCs w:val="24"/>
        </w:rPr>
        <w:t xml:space="preserve"> Število poizvedb, njihov delež glede na način predložitve, porabljen čas ter skupni stroški in prihodki od reševanja poizvedb v letih 2010 do 2013    </w:t>
      </w:r>
    </w:p>
    <w:p w:rsidR="005C0020" w:rsidRPr="00284764" w:rsidRDefault="005C0020" w:rsidP="005C0020">
      <w:pPr>
        <w:spacing w:line="320" w:lineRule="atLeast"/>
        <w:rPr>
          <w:rFonts w:ascii="Times New Roman" w:hAnsi="Times New Roman" w:cs="Times New Roman"/>
          <w:sz w:val="24"/>
          <w:szCs w:val="24"/>
        </w:rPr>
      </w:pPr>
      <w:r w:rsidRPr="00284764">
        <w:rPr>
          <w:rFonts w:ascii="Times New Roman" w:hAnsi="Times New Roman" w:cs="Times New Roman"/>
          <w:noProof/>
          <w:sz w:val="24"/>
          <w:szCs w:val="24"/>
          <w:lang w:eastAsia="sl-SI"/>
        </w:rPr>
        <w:drawing>
          <wp:inline distT="0" distB="0" distL="0" distR="0" wp14:anchorId="388CD8D1" wp14:editId="0E6689D8">
            <wp:extent cx="5753100" cy="120967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1209675"/>
                    </a:xfrm>
                    <a:prstGeom prst="rect">
                      <a:avLst/>
                    </a:prstGeom>
                    <a:noFill/>
                    <a:ln>
                      <a:noFill/>
                    </a:ln>
                  </pic:spPr>
                </pic:pic>
              </a:graphicData>
            </a:graphic>
          </wp:inline>
        </w:drawing>
      </w:r>
      <w:r w:rsidRPr="00284764">
        <w:rPr>
          <w:rFonts w:ascii="Times New Roman" w:hAnsi="Times New Roman" w:cs="Times New Roman"/>
          <w:sz w:val="24"/>
          <w:szCs w:val="24"/>
        </w:rPr>
        <w:t xml:space="preserve">  </w:t>
      </w:r>
    </w:p>
    <w:p w:rsidR="0077165D" w:rsidRDefault="0077165D" w:rsidP="006909CA">
      <w:pPr>
        <w:spacing w:line="320" w:lineRule="atLeast"/>
        <w:jc w:val="both"/>
        <w:rPr>
          <w:rFonts w:ascii="Times New Roman" w:hAnsi="Times New Roman" w:cs="Times New Roman"/>
          <w:sz w:val="24"/>
          <w:szCs w:val="24"/>
        </w:rPr>
      </w:pPr>
    </w:p>
    <w:p w:rsidR="005C0020" w:rsidRPr="00284764" w:rsidRDefault="005C0020" w:rsidP="006909CA">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Analiza dejanskih stroškov, nastalih pri posredovanju podatkov iz RTR kaže, da so le-ti bistveno večji od izhodiščnih, upoštevanih pri izračunu nadomestil stroškov oziroma tarife  v letu 2010. Skupni stroški reševanja poizvedb so se v zadnjem triletnem obdobju gibali od </w:t>
      </w:r>
      <w:r w:rsidRPr="00284764">
        <w:rPr>
          <w:rFonts w:ascii="Times New Roman" w:hAnsi="Times New Roman" w:cs="Times New Roman"/>
          <w:sz w:val="24"/>
          <w:szCs w:val="24"/>
        </w:rPr>
        <w:lastRenderedPageBreak/>
        <w:t xml:space="preserve">236.782 evrov v letu 2011 do 182.276 evrov v letu 2013. Med njimi so po obsegu največji stroški dela, saj je njihov delež v letu 2013 znašal 70,3 % (v letu 2011  73,5 %). Na reševanju poizvedb je namreč v letu 2013 neposredno delalo 4,4 uslužbencev, kar je za 1,4 uslužbenca več od izhodiščnih podatkov, upoštevanih v sedaj veljavni </w:t>
      </w:r>
      <w:r w:rsidR="0077165D">
        <w:rPr>
          <w:rFonts w:ascii="Times New Roman" w:hAnsi="Times New Roman" w:cs="Times New Roman"/>
          <w:sz w:val="24"/>
          <w:szCs w:val="24"/>
        </w:rPr>
        <w:t>T</w:t>
      </w:r>
      <w:r w:rsidRPr="00284764">
        <w:rPr>
          <w:rFonts w:ascii="Times New Roman" w:hAnsi="Times New Roman" w:cs="Times New Roman"/>
          <w:sz w:val="24"/>
          <w:szCs w:val="24"/>
        </w:rPr>
        <w:t xml:space="preserve">arifi. Povečanje števila uslužbencev na reševanju poizvedb je v večji meri posledica zahtevnejših poizvedb, za katere je potrebno več časa za njihovo reševanje. V obravnavanem obdobju so bili realizirani  prihodki iz naslova reševanja poizvedb bistveno nižji. Tako je AJPES v letu 2013 z omenjenimi prihodki pokril komaj dobro desetino (12,6 %) vseh stroškov, nastalih pri reševanju poizvedb. Večji del (67,2 %) vseh rešenih poizvedb v letu 2013 je AJPES posredoval prosilcem (sodišča, drugi državni organi, nosilci javnih pooblastil, odvetniki) brezplačno, skladno s 147. členom ZPlaSS. Med večjimi uporabniki podatkov iz RTR so prav odvetniki, ki so na podlagi 10. člena Zakona o odvetništvu (Uradni list RS, št. 18/93, 24/01, 54/08 in 35/09; v nadaljevanju ZOdv) upravičeni do brezplačnih storitev. Število rešenih poizvedb, ki jih AJPES skladno z navedeno zakonodajo ne zaračunava, se iz leta v leto povečuje (v prvih devetih mesecih letos je bilo posredovanih 72,3 % vseh rešenih poizvedb brezplačno), na kar vplivajo tako  zahtevnejši postopki pri vlaganju tožb in izvršb, za katere stranke pooblaščajo odvetnike in tudi povečanje števila osebnih stečajev z zadnjem obdobju. </w:t>
      </w:r>
    </w:p>
    <w:p w:rsidR="005C0020" w:rsidRPr="00284764" w:rsidRDefault="005C0020" w:rsidP="00546739">
      <w:pPr>
        <w:spacing w:line="320" w:lineRule="atLeast"/>
        <w:jc w:val="both"/>
        <w:rPr>
          <w:rFonts w:ascii="Times New Roman" w:hAnsi="Times New Roman" w:cs="Times New Roman"/>
          <w:b/>
          <w:sz w:val="24"/>
          <w:szCs w:val="24"/>
        </w:rPr>
      </w:pPr>
    </w:p>
    <w:p w:rsidR="005C0020" w:rsidRPr="00284764" w:rsidRDefault="005C0020" w:rsidP="00546739">
      <w:pPr>
        <w:spacing w:line="320" w:lineRule="atLeast"/>
        <w:jc w:val="both"/>
        <w:rPr>
          <w:rFonts w:ascii="Times New Roman" w:hAnsi="Times New Roman" w:cs="Times New Roman"/>
          <w:b/>
          <w:sz w:val="24"/>
          <w:szCs w:val="24"/>
        </w:rPr>
      </w:pPr>
      <w:r w:rsidRPr="00284764">
        <w:rPr>
          <w:rFonts w:ascii="Times New Roman" w:hAnsi="Times New Roman" w:cs="Times New Roman"/>
          <w:b/>
          <w:sz w:val="24"/>
          <w:szCs w:val="24"/>
        </w:rPr>
        <w:t>2.        Cilji tarife</w:t>
      </w:r>
    </w:p>
    <w:p w:rsidR="005C0020" w:rsidRDefault="005C0020" w:rsidP="00546739">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Cilji predloga</w:t>
      </w:r>
      <w:r w:rsidR="0077165D">
        <w:rPr>
          <w:rFonts w:ascii="Times New Roman" w:hAnsi="Times New Roman" w:cs="Times New Roman"/>
          <w:sz w:val="24"/>
          <w:szCs w:val="24"/>
        </w:rPr>
        <w:t xml:space="preserve"> spremembe T</w:t>
      </w:r>
      <w:r w:rsidRPr="00284764">
        <w:rPr>
          <w:rFonts w:ascii="Times New Roman" w:hAnsi="Times New Roman" w:cs="Times New Roman"/>
          <w:sz w:val="24"/>
          <w:szCs w:val="24"/>
        </w:rPr>
        <w:t xml:space="preserve">arife so zagotoviti obračun nadomestil za pokritje dejanskih stroškov posredovanja podatkov iz RTR upravičencem do pridobitve podatkov o transakcijskih računih fizičnih skladno z ZPlaSS. Višina nadomestil stroškov za posredovanje podatkov iz RTR je določena na podlagi  načina vlaganja zahtev za pridobitev podatkov in števila enot posredovanih podatkov. Tarifa na podlagi vloženih zahtev v elektronski obliki bo bistveno nižja od tarife nadomestil stroškov za posredovanje podatkov iz RTR na podlagi vloženih zahtev v pisni obliki, saj se postopki reševanja zahtev, prejetih v elektronski obliki, izvajajo učinkoviteje. Postopki vlaganja zahtev in prejemanja podatkov pa so enostavnejši za vlagatelje. </w:t>
      </w:r>
    </w:p>
    <w:p w:rsidR="00986648" w:rsidRPr="00284764" w:rsidRDefault="00986648" w:rsidP="00546739">
      <w:pPr>
        <w:spacing w:line="320" w:lineRule="atLeast"/>
        <w:jc w:val="both"/>
        <w:rPr>
          <w:rFonts w:ascii="Times New Roman" w:hAnsi="Times New Roman" w:cs="Times New Roman"/>
          <w:sz w:val="24"/>
          <w:szCs w:val="24"/>
        </w:rPr>
      </w:pPr>
    </w:p>
    <w:p w:rsidR="005C0020" w:rsidRPr="00284764" w:rsidRDefault="005C0020" w:rsidP="005C0020">
      <w:pPr>
        <w:spacing w:line="320" w:lineRule="atLeast"/>
        <w:rPr>
          <w:rFonts w:ascii="Times New Roman" w:hAnsi="Times New Roman" w:cs="Times New Roman"/>
          <w:b/>
          <w:sz w:val="24"/>
          <w:szCs w:val="24"/>
        </w:rPr>
      </w:pPr>
      <w:r w:rsidRPr="00284764">
        <w:rPr>
          <w:rFonts w:ascii="Times New Roman" w:hAnsi="Times New Roman" w:cs="Times New Roman"/>
          <w:b/>
          <w:sz w:val="24"/>
          <w:szCs w:val="24"/>
        </w:rPr>
        <w:t>3.        Tarifa nadomestil stroškov za posredovanje podatkov iz RTR</w:t>
      </w:r>
    </w:p>
    <w:p w:rsidR="005C0020" w:rsidRPr="00284764" w:rsidRDefault="005C0020" w:rsidP="005C0020">
      <w:pPr>
        <w:spacing w:line="320" w:lineRule="atLeast"/>
        <w:rPr>
          <w:rFonts w:ascii="Times New Roman" w:hAnsi="Times New Roman" w:cs="Times New Roman"/>
          <w:sz w:val="24"/>
          <w:szCs w:val="24"/>
          <w:u w:val="single"/>
        </w:rPr>
      </w:pPr>
      <w:r w:rsidRPr="00284764">
        <w:rPr>
          <w:rFonts w:ascii="Times New Roman" w:hAnsi="Times New Roman" w:cs="Times New Roman"/>
          <w:sz w:val="24"/>
          <w:szCs w:val="24"/>
          <w:u w:val="single"/>
        </w:rPr>
        <w:t>Pravne in ekonomske podlage za izračun nadomestil stroškov v tarifi</w:t>
      </w:r>
    </w:p>
    <w:p w:rsidR="005C0020" w:rsidRPr="00284764" w:rsidRDefault="005C0020" w:rsidP="00986648">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Predlog </w:t>
      </w:r>
      <w:r w:rsidR="0077165D">
        <w:rPr>
          <w:rFonts w:ascii="Times New Roman" w:hAnsi="Times New Roman" w:cs="Times New Roman"/>
          <w:sz w:val="24"/>
          <w:szCs w:val="24"/>
        </w:rPr>
        <w:t>spremembe T</w:t>
      </w:r>
      <w:r w:rsidRPr="00284764">
        <w:rPr>
          <w:rFonts w:ascii="Times New Roman" w:hAnsi="Times New Roman" w:cs="Times New Roman"/>
          <w:sz w:val="24"/>
          <w:szCs w:val="24"/>
        </w:rPr>
        <w:t xml:space="preserve">arife je pripravljen v skladu z ZPlaSS. Skladno s sedmim odstavkom 147. člena ZPlaSS AJPES zaračunava stroške za posredovanje podatkov iz RTR, razen če poseben zakon določa, da je posamezen prosilec upravičen do brezplačne pridobitve podatkov. </w:t>
      </w:r>
    </w:p>
    <w:p w:rsidR="0077165D" w:rsidRDefault="0077165D" w:rsidP="005C0020">
      <w:pPr>
        <w:spacing w:line="320" w:lineRule="atLeast"/>
        <w:rPr>
          <w:rFonts w:ascii="Times New Roman" w:hAnsi="Times New Roman" w:cs="Times New Roman"/>
          <w:b/>
          <w:sz w:val="24"/>
          <w:szCs w:val="24"/>
        </w:rPr>
      </w:pPr>
    </w:p>
    <w:p w:rsidR="0077165D" w:rsidRDefault="0077165D" w:rsidP="005C0020">
      <w:pPr>
        <w:spacing w:line="320" w:lineRule="atLeast"/>
        <w:rPr>
          <w:rFonts w:ascii="Times New Roman" w:hAnsi="Times New Roman" w:cs="Times New Roman"/>
          <w:b/>
          <w:sz w:val="24"/>
          <w:szCs w:val="24"/>
        </w:rPr>
      </w:pPr>
    </w:p>
    <w:p w:rsidR="005C0020" w:rsidRPr="00284764" w:rsidRDefault="005C0020" w:rsidP="005C0020">
      <w:pPr>
        <w:spacing w:line="320" w:lineRule="atLeast"/>
        <w:rPr>
          <w:rFonts w:ascii="Times New Roman" w:hAnsi="Times New Roman" w:cs="Times New Roman"/>
          <w:b/>
          <w:sz w:val="24"/>
          <w:szCs w:val="24"/>
        </w:rPr>
      </w:pPr>
      <w:r w:rsidRPr="00284764">
        <w:rPr>
          <w:rFonts w:ascii="Times New Roman" w:hAnsi="Times New Roman" w:cs="Times New Roman"/>
          <w:b/>
          <w:sz w:val="24"/>
          <w:szCs w:val="24"/>
        </w:rPr>
        <w:lastRenderedPageBreak/>
        <w:t xml:space="preserve">3.1.     Izračun  nadomestila stroškov za posredovanje podatkov iz RTR na podlagi            </w:t>
      </w:r>
      <w:r w:rsidR="0077165D">
        <w:rPr>
          <w:rFonts w:ascii="Times New Roman" w:hAnsi="Times New Roman" w:cs="Times New Roman"/>
          <w:b/>
          <w:sz w:val="24"/>
          <w:szCs w:val="24"/>
        </w:rPr>
        <w:t xml:space="preserve">      </w:t>
      </w:r>
      <w:r w:rsidRPr="00284764">
        <w:rPr>
          <w:rFonts w:ascii="Times New Roman" w:hAnsi="Times New Roman" w:cs="Times New Roman"/>
          <w:b/>
          <w:sz w:val="24"/>
          <w:szCs w:val="24"/>
        </w:rPr>
        <w:t>celotnih stroškov</w:t>
      </w:r>
    </w:p>
    <w:p w:rsidR="005C0020" w:rsidRPr="00284764" w:rsidRDefault="005C0020" w:rsidP="0077165D">
      <w:pPr>
        <w:spacing w:line="320" w:lineRule="atLeast"/>
        <w:jc w:val="both"/>
        <w:rPr>
          <w:rFonts w:ascii="Times New Roman" w:hAnsi="Times New Roman" w:cs="Times New Roman"/>
          <w:sz w:val="24"/>
          <w:szCs w:val="24"/>
          <w:highlight w:val="yellow"/>
        </w:rPr>
      </w:pPr>
      <w:r w:rsidRPr="00284764">
        <w:rPr>
          <w:rFonts w:ascii="Times New Roman" w:hAnsi="Times New Roman" w:cs="Times New Roman"/>
          <w:sz w:val="24"/>
          <w:szCs w:val="24"/>
        </w:rPr>
        <w:t>Izračun nadomestila stroškov za posredovanje podatkov iz RTR izhaja iz ugotovljenih celotnih stroškov nav</w:t>
      </w:r>
      <w:r w:rsidR="00DF581E">
        <w:rPr>
          <w:rFonts w:ascii="Times New Roman" w:hAnsi="Times New Roman" w:cs="Times New Roman"/>
          <w:sz w:val="24"/>
          <w:szCs w:val="24"/>
        </w:rPr>
        <w:t>edene javne storitve v letu 2013, saj bodo podatki za leto 2014 na razpolago šele po pripravi letnega poročila</w:t>
      </w:r>
      <w:r w:rsidRPr="00284764">
        <w:rPr>
          <w:rFonts w:ascii="Times New Roman" w:hAnsi="Times New Roman" w:cs="Times New Roman"/>
          <w:sz w:val="24"/>
          <w:szCs w:val="24"/>
        </w:rPr>
        <w:t>.</w:t>
      </w:r>
    </w:p>
    <w:p w:rsidR="005C0020" w:rsidRPr="00284764" w:rsidRDefault="005C0020" w:rsidP="0077165D">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Pri predlogu izračuna stroškovne (lastne) cene posredovanja podatkov iz RTR so bila upoštevana naslednja izhodišča:</w:t>
      </w:r>
    </w:p>
    <w:p w:rsidR="005C0020" w:rsidRPr="00284764" w:rsidRDefault="005C0020" w:rsidP="0077165D">
      <w:pPr>
        <w:numPr>
          <w:ilvl w:val="0"/>
          <w:numId w:val="4"/>
        </w:numPr>
        <w:spacing w:after="0" w:line="320" w:lineRule="atLeast"/>
        <w:jc w:val="both"/>
        <w:rPr>
          <w:rFonts w:ascii="Times New Roman" w:hAnsi="Times New Roman" w:cs="Times New Roman"/>
          <w:sz w:val="24"/>
          <w:szCs w:val="24"/>
        </w:rPr>
      </w:pPr>
      <w:r w:rsidRPr="00284764">
        <w:rPr>
          <w:rFonts w:ascii="Times New Roman" w:hAnsi="Times New Roman" w:cs="Times New Roman"/>
          <w:sz w:val="24"/>
          <w:szCs w:val="24"/>
        </w:rPr>
        <w:t>število vloženih zahtev v letu 2015 je ocenjeno na 51.500, izhajajoč iz šte</w:t>
      </w:r>
      <w:r w:rsidR="00DF581E">
        <w:rPr>
          <w:rFonts w:ascii="Times New Roman" w:hAnsi="Times New Roman" w:cs="Times New Roman"/>
          <w:sz w:val="24"/>
          <w:szCs w:val="24"/>
        </w:rPr>
        <w:t>vila vloženih zahtev v letu 2013</w:t>
      </w:r>
      <w:r w:rsidRPr="00284764">
        <w:rPr>
          <w:rFonts w:ascii="Times New Roman" w:hAnsi="Times New Roman" w:cs="Times New Roman"/>
          <w:sz w:val="24"/>
          <w:szCs w:val="24"/>
        </w:rPr>
        <w:t xml:space="preserve"> ;</w:t>
      </w:r>
    </w:p>
    <w:p w:rsidR="005C0020" w:rsidRPr="00284764" w:rsidRDefault="005C0020" w:rsidP="0077165D">
      <w:pPr>
        <w:numPr>
          <w:ilvl w:val="0"/>
          <w:numId w:val="4"/>
        </w:numPr>
        <w:spacing w:after="0"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77 % vseh zahtev bo vloženih v elektronski obliki, preostali del (23 %) v pisni obliki; </w:t>
      </w:r>
    </w:p>
    <w:p w:rsidR="005C0020" w:rsidRPr="00284764" w:rsidRDefault="005C0020" w:rsidP="0077165D">
      <w:pPr>
        <w:numPr>
          <w:ilvl w:val="0"/>
          <w:numId w:val="4"/>
        </w:numPr>
        <w:spacing w:after="0" w:line="320" w:lineRule="atLeast"/>
        <w:jc w:val="both"/>
        <w:rPr>
          <w:rFonts w:ascii="Times New Roman" w:hAnsi="Times New Roman" w:cs="Times New Roman"/>
          <w:sz w:val="24"/>
          <w:szCs w:val="24"/>
        </w:rPr>
      </w:pPr>
      <w:r w:rsidRPr="00284764">
        <w:rPr>
          <w:rFonts w:ascii="Times New Roman" w:hAnsi="Times New Roman" w:cs="Times New Roman"/>
          <w:sz w:val="24"/>
          <w:szCs w:val="24"/>
        </w:rPr>
        <w:t>število uslužbencev ( preračunano na polni delovni čas), ki bodo reševali zahteve, je 4,4 (izhajajoč iz števila uslužbencev, ki so neposredno delali na reševanju poizvedb v letu 2013);</w:t>
      </w:r>
    </w:p>
    <w:p w:rsidR="005C0020" w:rsidRPr="00284764" w:rsidRDefault="005C0020" w:rsidP="0077165D">
      <w:pPr>
        <w:numPr>
          <w:ilvl w:val="0"/>
          <w:numId w:val="4"/>
        </w:numPr>
        <w:spacing w:after="0" w:line="320" w:lineRule="atLeast"/>
        <w:jc w:val="both"/>
        <w:rPr>
          <w:rFonts w:ascii="Times New Roman" w:hAnsi="Times New Roman" w:cs="Times New Roman"/>
          <w:sz w:val="24"/>
          <w:szCs w:val="24"/>
        </w:rPr>
      </w:pPr>
      <w:r w:rsidRPr="00284764">
        <w:rPr>
          <w:rFonts w:ascii="Times New Roman" w:hAnsi="Times New Roman" w:cs="Times New Roman"/>
          <w:sz w:val="24"/>
          <w:szCs w:val="24"/>
        </w:rPr>
        <w:t>razmerje potrebnih aktivnosti in posledično stroškov reševanja zahtev med vlaganjem *-zahtev v elektronski obliki in zahtev v pisni obliki je ocenjeno na 1: 5,1.</w:t>
      </w:r>
    </w:p>
    <w:p w:rsidR="00DF581E" w:rsidRDefault="00DF581E" w:rsidP="0077165D">
      <w:pPr>
        <w:spacing w:line="320" w:lineRule="atLeast"/>
        <w:jc w:val="both"/>
        <w:rPr>
          <w:rFonts w:ascii="Times New Roman" w:hAnsi="Times New Roman" w:cs="Times New Roman"/>
          <w:sz w:val="24"/>
          <w:szCs w:val="24"/>
        </w:rPr>
      </w:pPr>
    </w:p>
    <w:p w:rsidR="005C0020" w:rsidRPr="00284764" w:rsidRDefault="005C0020" w:rsidP="0077165D">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Stroškovna (lastna) cena posredovanja podatkov iz RTR vključuje tekoče stroške reševanja zahtev, tako neposredne, kot tudi posredne stroške.</w:t>
      </w:r>
    </w:p>
    <w:p w:rsidR="005C0020" w:rsidRPr="00284764" w:rsidRDefault="005C0020" w:rsidP="0077165D">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Obseg in vrsto stroškov, upoštevanih pri izračunu nadomestila stroškov za posredovanje podatkov iz RTR, prikazuje preglednica 2.</w:t>
      </w:r>
    </w:p>
    <w:tbl>
      <w:tblPr>
        <w:tblW w:w="7935" w:type="dxa"/>
        <w:tblInd w:w="93" w:type="dxa"/>
        <w:tblLook w:val="0000" w:firstRow="0" w:lastRow="0" w:firstColumn="0" w:lastColumn="0" w:noHBand="0" w:noVBand="0"/>
      </w:tblPr>
      <w:tblGrid>
        <w:gridCol w:w="6675"/>
        <w:gridCol w:w="1260"/>
      </w:tblGrid>
      <w:tr w:rsidR="005C0020" w:rsidRPr="00284764" w:rsidTr="0057270B">
        <w:trPr>
          <w:trHeight w:val="270"/>
        </w:trPr>
        <w:tc>
          <w:tcPr>
            <w:tcW w:w="6675" w:type="dxa"/>
            <w:tcBorders>
              <w:top w:val="nil"/>
              <w:left w:val="nil"/>
              <w:bottom w:val="single" w:sz="8" w:space="0" w:color="auto"/>
              <w:right w:val="nil"/>
            </w:tcBorders>
            <w:shd w:val="clear" w:color="auto" w:fill="auto"/>
            <w:vAlign w:val="bottom"/>
          </w:tcPr>
          <w:p w:rsidR="005C0020" w:rsidRPr="00284764" w:rsidRDefault="005C0020" w:rsidP="00673106">
            <w:pPr>
              <w:spacing w:line="320" w:lineRule="atLeast"/>
              <w:rPr>
                <w:rFonts w:ascii="Times New Roman" w:hAnsi="Times New Roman" w:cs="Times New Roman"/>
                <w:b/>
                <w:sz w:val="24"/>
                <w:szCs w:val="24"/>
              </w:rPr>
            </w:pPr>
            <w:r w:rsidRPr="00284764">
              <w:rPr>
                <w:rFonts w:ascii="Times New Roman" w:hAnsi="Times New Roman" w:cs="Times New Roman"/>
                <w:b/>
                <w:sz w:val="24"/>
                <w:szCs w:val="24"/>
              </w:rPr>
              <w:t>Preglednica 2</w:t>
            </w:r>
            <w:r w:rsidR="00673106">
              <w:rPr>
                <w:rFonts w:ascii="Times New Roman" w:hAnsi="Times New Roman" w:cs="Times New Roman"/>
                <w:b/>
                <w:sz w:val="24"/>
                <w:szCs w:val="24"/>
              </w:rPr>
              <w:t>.</w:t>
            </w:r>
            <w:r w:rsidRPr="00284764">
              <w:rPr>
                <w:rFonts w:ascii="Times New Roman" w:hAnsi="Times New Roman" w:cs="Times New Roman"/>
                <w:b/>
                <w:sz w:val="24"/>
                <w:szCs w:val="24"/>
              </w:rPr>
              <w:t xml:space="preserve">  Izračun stroškovne (lastne) cene za </w:t>
            </w:r>
            <w:proofErr w:type="spellStart"/>
            <w:r w:rsidRPr="00284764">
              <w:rPr>
                <w:rFonts w:ascii="Times New Roman" w:hAnsi="Times New Roman" w:cs="Times New Roman"/>
                <w:b/>
                <w:sz w:val="24"/>
                <w:szCs w:val="24"/>
              </w:rPr>
              <w:t>osredovanje</w:t>
            </w:r>
            <w:proofErr w:type="spellEnd"/>
            <w:r w:rsidRPr="00284764">
              <w:rPr>
                <w:rFonts w:ascii="Times New Roman" w:hAnsi="Times New Roman" w:cs="Times New Roman"/>
                <w:b/>
                <w:sz w:val="24"/>
                <w:szCs w:val="24"/>
              </w:rPr>
              <w:t xml:space="preserve"> podatkov iz RTR</w:t>
            </w:r>
          </w:p>
        </w:tc>
        <w:tc>
          <w:tcPr>
            <w:tcW w:w="1260" w:type="dxa"/>
            <w:tcBorders>
              <w:top w:val="nil"/>
              <w:left w:val="nil"/>
              <w:bottom w:val="single" w:sz="8" w:space="0" w:color="auto"/>
              <w:right w:val="nil"/>
            </w:tcBorders>
          </w:tcPr>
          <w:p w:rsidR="005C0020" w:rsidRPr="00284764" w:rsidRDefault="005C0020" w:rsidP="0057270B">
            <w:pPr>
              <w:spacing w:line="320" w:lineRule="atLeast"/>
              <w:jc w:val="right"/>
              <w:rPr>
                <w:rFonts w:ascii="Times New Roman" w:hAnsi="Times New Roman" w:cs="Times New Roman"/>
                <w:sz w:val="24"/>
                <w:szCs w:val="24"/>
              </w:rPr>
            </w:pPr>
            <w:r w:rsidRPr="00284764">
              <w:rPr>
                <w:rFonts w:ascii="Times New Roman" w:hAnsi="Times New Roman" w:cs="Times New Roman"/>
                <w:sz w:val="24"/>
                <w:szCs w:val="24"/>
              </w:rPr>
              <w:t>zneski v evrih</w:t>
            </w:r>
          </w:p>
        </w:tc>
      </w:tr>
      <w:tr w:rsidR="005C0020" w:rsidRPr="00284764" w:rsidTr="0057270B">
        <w:trPr>
          <w:trHeight w:val="255"/>
        </w:trPr>
        <w:tc>
          <w:tcPr>
            <w:tcW w:w="6675" w:type="dxa"/>
            <w:tcBorders>
              <w:top w:val="single" w:sz="8" w:space="0" w:color="auto"/>
              <w:left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b/>
                <w:sz w:val="24"/>
                <w:szCs w:val="24"/>
              </w:rPr>
            </w:pPr>
            <w:r w:rsidRPr="00284764">
              <w:rPr>
                <w:rFonts w:ascii="Times New Roman" w:hAnsi="Times New Roman" w:cs="Times New Roman"/>
                <w:b/>
                <w:sz w:val="24"/>
                <w:szCs w:val="24"/>
                <w:lang w:eastAsia="sl-SI"/>
              </w:rPr>
              <w:t>I. Tekoči stroški reševanja zahtev skupaj</w:t>
            </w:r>
          </w:p>
        </w:tc>
        <w:tc>
          <w:tcPr>
            <w:tcW w:w="1260" w:type="dxa"/>
            <w:tcBorders>
              <w:top w:val="single" w:sz="8" w:space="0" w:color="auto"/>
              <w:left w:val="nil"/>
              <w:right w:val="nil"/>
            </w:tcBorders>
          </w:tcPr>
          <w:p w:rsidR="005C0020" w:rsidRPr="00284764" w:rsidRDefault="005C0020" w:rsidP="0057270B">
            <w:pPr>
              <w:spacing w:line="320" w:lineRule="atLeast"/>
              <w:jc w:val="right"/>
              <w:rPr>
                <w:rFonts w:ascii="Times New Roman" w:hAnsi="Times New Roman" w:cs="Times New Roman"/>
                <w:b/>
                <w:sz w:val="24"/>
                <w:szCs w:val="24"/>
                <w:lang w:eastAsia="sl-SI"/>
              </w:rPr>
            </w:pPr>
            <w:r w:rsidRPr="00284764">
              <w:rPr>
                <w:rFonts w:ascii="Times New Roman" w:hAnsi="Times New Roman" w:cs="Times New Roman"/>
                <w:b/>
                <w:sz w:val="24"/>
                <w:szCs w:val="24"/>
                <w:lang w:eastAsia="sl-SI"/>
              </w:rPr>
              <w:t>182.276*</w:t>
            </w:r>
          </w:p>
        </w:tc>
      </w:tr>
      <w:tr w:rsidR="005C0020" w:rsidRPr="00284764" w:rsidTr="0057270B">
        <w:trPr>
          <w:trHeight w:val="255"/>
        </w:trPr>
        <w:tc>
          <w:tcPr>
            <w:tcW w:w="6675" w:type="dxa"/>
            <w:tcBorders>
              <w:left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b/>
                <w:sz w:val="24"/>
                <w:szCs w:val="24"/>
                <w:lang w:eastAsia="sl-SI"/>
              </w:rPr>
            </w:pPr>
            <w:r w:rsidRPr="00284764">
              <w:rPr>
                <w:rFonts w:ascii="Times New Roman" w:hAnsi="Times New Roman" w:cs="Times New Roman"/>
                <w:b/>
                <w:sz w:val="24"/>
                <w:szCs w:val="24"/>
                <w:lang w:eastAsia="sl-SI"/>
              </w:rPr>
              <w:t>1. neposredni stroški</w:t>
            </w:r>
          </w:p>
        </w:tc>
        <w:tc>
          <w:tcPr>
            <w:tcW w:w="1260" w:type="dxa"/>
            <w:tcBorders>
              <w:left w:val="nil"/>
              <w:right w:val="nil"/>
            </w:tcBorders>
          </w:tcPr>
          <w:p w:rsidR="005C0020" w:rsidRPr="00284764" w:rsidRDefault="005C0020" w:rsidP="0057270B">
            <w:pPr>
              <w:spacing w:line="320" w:lineRule="atLeast"/>
              <w:jc w:val="right"/>
              <w:rPr>
                <w:rFonts w:ascii="Times New Roman" w:hAnsi="Times New Roman" w:cs="Times New Roman"/>
                <w:b/>
                <w:sz w:val="24"/>
                <w:szCs w:val="24"/>
                <w:lang w:eastAsia="sl-SI"/>
              </w:rPr>
            </w:pPr>
            <w:r w:rsidRPr="00284764">
              <w:rPr>
                <w:rFonts w:ascii="Times New Roman" w:hAnsi="Times New Roman" w:cs="Times New Roman"/>
                <w:b/>
                <w:sz w:val="24"/>
                <w:szCs w:val="24"/>
                <w:lang w:eastAsia="sl-SI"/>
              </w:rPr>
              <w:t>137.576</w:t>
            </w:r>
          </w:p>
        </w:tc>
      </w:tr>
      <w:tr w:rsidR="005C0020" w:rsidRPr="00284764" w:rsidTr="0057270B">
        <w:trPr>
          <w:trHeight w:val="255"/>
        </w:trPr>
        <w:tc>
          <w:tcPr>
            <w:tcW w:w="6675" w:type="dxa"/>
            <w:tcBorders>
              <w:left w:val="nil"/>
              <w:bottom w:val="nil"/>
              <w:right w:val="nil"/>
            </w:tcBorders>
            <w:shd w:val="clear" w:color="auto" w:fill="auto"/>
            <w:noWrap/>
            <w:vAlign w:val="bottom"/>
          </w:tcPr>
          <w:p w:rsidR="005C0020" w:rsidRPr="00284764" w:rsidRDefault="005C0020" w:rsidP="0057270B">
            <w:pPr>
              <w:spacing w:line="320" w:lineRule="atLeast"/>
              <w:ind w:left="267"/>
              <w:rPr>
                <w:rFonts w:ascii="Times New Roman" w:hAnsi="Times New Roman" w:cs="Times New Roman"/>
                <w:sz w:val="24"/>
                <w:szCs w:val="24"/>
                <w:lang w:eastAsia="sl-SI"/>
              </w:rPr>
            </w:pPr>
            <w:r w:rsidRPr="00284764">
              <w:rPr>
                <w:rFonts w:ascii="Times New Roman" w:hAnsi="Times New Roman" w:cs="Times New Roman"/>
                <w:sz w:val="24"/>
                <w:szCs w:val="24"/>
                <w:lang w:eastAsia="sl-SI"/>
              </w:rPr>
              <w:t>– stroški dela</w:t>
            </w:r>
          </w:p>
        </w:tc>
        <w:tc>
          <w:tcPr>
            <w:tcW w:w="1260" w:type="dxa"/>
            <w:tcBorders>
              <w:left w:val="nil"/>
              <w:bottom w:val="nil"/>
              <w:right w:val="nil"/>
            </w:tcBorders>
          </w:tcPr>
          <w:p w:rsidR="005C0020" w:rsidRPr="00284764" w:rsidRDefault="005C0020" w:rsidP="0057270B">
            <w:pPr>
              <w:spacing w:line="320" w:lineRule="atLeast"/>
              <w:jc w:val="right"/>
              <w:rPr>
                <w:rFonts w:ascii="Times New Roman" w:hAnsi="Times New Roman" w:cs="Times New Roman"/>
                <w:sz w:val="24"/>
                <w:szCs w:val="24"/>
                <w:lang w:eastAsia="sl-SI"/>
              </w:rPr>
            </w:pPr>
            <w:r w:rsidRPr="00284764">
              <w:rPr>
                <w:rFonts w:ascii="Times New Roman" w:hAnsi="Times New Roman" w:cs="Times New Roman"/>
                <w:sz w:val="24"/>
                <w:szCs w:val="24"/>
                <w:lang w:eastAsia="sl-SI"/>
              </w:rPr>
              <w:t>128.076</w:t>
            </w:r>
          </w:p>
        </w:tc>
      </w:tr>
      <w:tr w:rsidR="005C0020" w:rsidRPr="00284764" w:rsidTr="0057270B">
        <w:trPr>
          <w:trHeight w:val="255"/>
        </w:trPr>
        <w:tc>
          <w:tcPr>
            <w:tcW w:w="6675" w:type="dxa"/>
            <w:tcBorders>
              <w:top w:val="nil"/>
              <w:left w:val="nil"/>
              <w:bottom w:val="nil"/>
              <w:right w:val="nil"/>
            </w:tcBorders>
            <w:shd w:val="clear" w:color="auto" w:fill="auto"/>
            <w:noWrap/>
            <w:vAlign w:val="bottom"/>
          </w:tcPr>
          <w:p w:rsidR="005C0020" w:rsidRPr="00284764" w:rsidRDefault="005C0020" w:rsidP="0057270B">
            <w:pPr>
              <w:spacing w:line="320" w:lineRule="atLeast"/>
              <w:ind w:left="267"/>
              <w:rPr>
                <w:rFonts w:ascii="Times New Roman" w:hAnsi="Times New Roman" w:cs="Times New Roman"/>
                <w:sz w:val="24"/>
                <w:szCs w:val="24"/>
                <w:lang w:eastAsia="sl-SI"/>
              </w:rPr>
            </w:pPr>
            <w:r w:rsidRPr="00284764">
              <w:rPr>
                <w:rFonts w:ascii="Times New Roman" w:hAnsi="Times New Roman" w:cs="Times New Roman"/>
                <w:sz w:val="24"/>
                <w:szCs w:val="24"/>
                <w:lang w:eastAsia="sl-SI"/>
              </w:rPr>
              <w:t>– stroški materiala, storitev in drugi stroški</w:t>
            </w:r>
          </w:p>
        </w:tc>
        <w:tc>
          <w:tcPr>
            <w:tcW w:w="1260" w:type="dxa"/>
            <w:tcBorders>
              <w:top w:val="nil"/>
              <w:left w:val="nil"/>
              <w:bottom w:val="nil"/>
              <w:right w:val="nil"/>
            </w:tcBorders>
          </w:tcPr>
          <w:p w:rsidR="005C0020" w:rsidRPr="00284764" w:rsidRDefault="005C0020" w:rsidP="0057270B">
            <w:pPr>
              <w:spacing w:line="320" w:lineRule="atLeast"/>
              <w:jc w:val="right"/>
              <w:rPr>
                <w:rFonts w:ascii="Times New Roman" w:hAnsi="Times New Roman" w:cs="Times New Roman"/>
                <w:sz w:val="24"/>
                <w:szCs w:val="24"/>
                <w:lang w:eastAsia="sl-SI"/>
              </w:rPr>
            </w:pPr>
            <w:r w:rsidRPr="00284764">
              <w:rPr>
                <w:rFonts w:ascii="Times New Roman" w:hAnsi="Times New Roman" w:cs="Times New Roman"/>
                <w:sz w:val="24"/>
                <w:szCs w:val="24"/>
                <w:lang w:eastAsia="sl-SI"/>
              </w:rPr>
              <w:t>9.500</w:t>
            </w:r>
          </w:p>
        </w:tc>
      </w:tr>
      <w:tr w:rsidR="005C0020" w:rsidRPr="00284764" w:rsidTr="0057270B">
        <w:trPr>
          <w:trHeight w:val="255"/>
        </w:trPr>
        <w:tc>
          <w:tcPr>
            <w:tcW w:w="6675" w:type="dxa"/>
            <w:tcBorders>
              <w:top w:val="nil"/>
              <w:left w:val="nil"/>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b/>
                <w:sz w:val="24"/>
                <w:szCs w:val="24"/>
                <w:lang w:eastAsia="sl-SI"/>
              </w:rPr>
            </w:pPr>
            <w:r w:rsidRPr="00284764">
              <w:rPr>
                <w:rFonts w:ascii="Times New Roman" w:hAnsi="Times New Roman" w:cs="Times New Roman"/>
                <w:b/>
                <w:sz w:val="24"/>
                <w:szCs w:val="24"/>
                <w:lang w:eastAsia="sl-SI"/>
              </w:rPr>
              <w:t>2. posredni stroški</w:t>
            </w:r>
          </w:p>
        </w:tc>
        <w:tc>
          <w:tcPr>
            <w:tcW w:w="1260" w:type="dxa"/>
            <w:tcBorders>
              <w:top w:val="nil"/>
              <w:left w:val="nil"/>
              <w:bottom w:val="nil"/>
              <w:right w:val="nil"/>
            </w:tcBorders>
          </w:tcPr>
          <w:p w:rsidR="005C0020" w:rsidRPr="00284764" w:rsidRDefault="005C0020" w:rsidP="0057270B">
            <w:pPr>
              <w:spacing w:line="320" w:lineRule="atLeast"/>
              <w:jc w:val="right"/>
              <w:rPr>
                <w:rFonts w:ascii="Times New Roman" w:hAnsi="Times New Roman" w:cs="Times New Roman"/>
                <w:b/>
                <w:sz w:val="24"/>
                <w:szCs w:val="24"/>
                <w:lang w:eastAsia="sl-SI"/>
              </w:rPr>
            </w:pPr>
            <w:r w:rsidRPr="00284764">
              <w:rPr>
                <w:rFonts w:ascii="Times New Roman" w:hAnsi="Times New Roman" w:cs="Times New Roman"/>
                <w:b/>
                <w:sz w:val="24"/>
                <w:szCs w:val="24"/>
                <w:lang w:eastAsia="sl-SI"/>
              </w:rPr>
              <w:t>44.700</w:t>
            </w:r>
          </w:p>
        </w:tc>
      </w:tr>
      <w:tr w:rsidR="005C0020" w:rsidRPr="00284764" w:rsidTr="0057270B">
        <w:trPr>
          <w:trHeight w:val="255"/>
        </w:trPr>
        <w:tc>
          <w:tcPr>
            <w:tcW w:w="6675" w:type="dxa"/>
            <w:tcBorders>
              <w:left w:val="nil"/>
              <w:bottom w:val="nil"/>
              <w:right w:val="nil"/>
            </w:tcBorders>
            <w:shd w:val="clear" w:color="auto" w:fill="auto"/>
            <w:noWrap/>
            <w:vAlign w:val="bottom"/>
          </w:tcPr>
          <w:p w:rsidR="005C0020" w:rsidRPr="00284764" w:rsidRDefault="005C0020" w:rsidP="0057270B">
            <w:pPr>
              <w:spacing w:line="320" w:lineRule="atLeast"/>
              <w:ind w:left="267"/>
              <w:rPr>
                <w:rFonts w:ascii="Times New Roman" w:hAnsi="Times New Roman" w:cs="Times New Roman"/>
                <w:sz w:val="24"/>
                <w:szCs w:val="24"/>
                <w:lang w:eastAsia="sl-SI"/>
              </w:rPr>
            </w:pPr>
            <w:r w:rsidRPr="00284764">
              <w:rPr>
                <w:rFonts w:ascii="Times New Roman" w:hAnsi="Times New Roman" w:cs="Times New Roman"/>
                <w:sz w:val="24"/>
                <w:szCs w:val="24"/>
                <w:lang w:eastAsia="sl-SI"/>
              </w:rPr>
              <w:t>– stroški dela</w:t>
            </w:r>
          </w:p>
        </w:tc>
        <w:tc>
          <w:tcPr>
            <w:tcW w:w="1260" w:type="dxa"/>
            <w:tcBorders>
              <w:left w:val="nil"/>
              <w:bottom w:val="nil"/>
              <w:right w:val="nil"/>
            </w:tcBorders>
          </w:tcPr>
          <w:p w:rsidR="005C0020" w:rsidRPr="00284764" w:rsidRDefault="005C0020" w:rsidP="0057270B">
            <w:pPr>
              <w:spacing w:line="320" w:lineRule="atLeast"/>
              <w:jc w:val="right"/>
              <w:rPr>
                <w:rFonts w:ascii="Times New Roman" w:hAnsi="Times New Roman" w:cs="Times New Roman"/>
                <w:sz w:val="24"/>
                <w:szCs w:val="24"/>
                <w:lang w:eastAsia="sl-SI"/>
              </w:rPr>
            </w:pPr>
            <w:r w:rsidRPr="00284764">
              <w:rPr>
                <w:rFonts w:ascii="Times New Roman" w:hAnsi="Times New Roman" w:cs="Times New Roman"/>
                <w:sz w:val="24"/>
                <w:szCs w:val="24"/>
                <w:lang w:eastAsia="sl-SI"/>
              </w:rPr>
              <w:t>25.593</w:t>
            </w:r>
          </w:p>
        </w:tc>
      </w:tr>
      <w:tr w:rsidR="005C0020" w:rsidRPr="00284764" w:rsidTr="0057270B">
        <w:trPr>
          <w:trHeight w:val="255"/>
        </w:trPr>
        <w:tc>
          <w:tcPr>
            <w:tcW w:w="6675" w:type="dxa"/>
            <w:tcBorders>
              <w:top w:val="nil"/>
              <w:left w:val="nil"/>
              <w:bottom w:val="nil"/>
              <w:right w:val="nil"/>
            </w:tcBorders>
            <w:shd w:val="clear" w:color="auto" w:fill="auto"/>
            <w:noWrap/>
            <w:vAlign w:val="bottom"/>
          </w:tcPr>
          <w:p w:rsidR="005C0020" w:rsidRPr="00284764" w:rsidRDefault="005C0020" w:rsidP="0057270B">
            <w:pPr>
              <w:spacing w:line="320" w:lineRule="atLeast"/>
              <w:ind w:left="267"/>
              <w:rPr>
                <w:rFonts w:ascii="Times New Roman" w:hAnsi="Times New Roman" w:cs="Times New Roman"/>
                <w:sz w:val="24"/>
                <w:szCs w:val="24"/>
                <w:lang w:eastAsia="sl-SI"/>
              </w:rPr>
            </w:pPr>
            <w:r w:rsidRPr="00284764">
              <w:rPr>
                <w:rFonts w:ascii="Times New Roman" w:hAnsi="Times New Roman" w:cs="Times New Roman"/>
                <w:sz w:val="24"/>
                <w:szCs w:val="24"/>
                <w:lang w:eastAsia="sl-SI"/>
              </w:rPr>
              <w:t>– stroški materiala, storitev in drugi stroški</w:t>
            </w:r>
          </w:p>
        </w:tc>
        <w:tc>
          <w:tcPr>
            <w:tcW w:w="1260" w:type="dxa"/>
            <w:tcBorders>
              <w:top w:val="nil"/>
              <w:left w:val="nil"/>
              <w:bottom w:val="nil"/>
              <w:right w:val="nil"/>
            </w:tcBorders>
          </w:tcPr>
          <w:p w:rsidR="005C0020" w:rsidRPr="00284764" w:rsidRDefault="005C0020" w:rsidP="0057270B">
            <w:pPr>
              <w:spacing w:line="320" w:lineRule="atLeast"/>
              <w:jc w:val="right"/>
              <w:rPr>
                <w:rFonts w:ascii="Times New Roman" w:hAnsi="Times New Roman" w:cs="Times New Roman"/>
                <w:sz w:val="24"/>
                <w:szCs w:val="24"/>
                <w:lang w:eastAsia="sl-SI"/>
              </w:rPr>
            </w:pPr>
            <w:r w:rsidRPr="00284764">
              <w:rPr>
                <w:rFonts w:ascii="Times New Roman" w:hAnsi="Times New Roman" w:cs="Times New Roman"/>
                <w:sz w:val="24"/>
                <w:szCs w:val="24"/>
                <w:lang w:eastAsia="sl-SI"/>
              </w:rPr>
              <w:t>19.107</w:t>
            </w:r>
          </w:p>
        </w:tc>
      </w:tr>
      <w:tr w:rsidR="005C0020" w:rsidRPr="00284764" w:rsidTr="0057270B">
        <w:trPr>
          <w:trHeight w:val="255"/>
        </w:trPr>
        <w:tc>
          <w:tcPr>
            <w:tcW w:w="6675" w:type="dxa"/>
            <w:tcBorders>
              <w:top w:val="nil"/>
              <w:left w:val="nil"/>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b/>
                <w:sz w:val="24"/>
                <w:szCs w:val="24"/>
              </w:rPr>
            </w:pPr>
            <w:r w:rsidRPr="00284764">
              <w:rPr>
                <w:rFonts w:ascii="Times New Roman" w:hAnsi="Times New Roman" w:cs="Times New Roman"/>
                <w:b/>
                <w:sz w:val="24"/>
                <w:szCs w:val="24"/>
                <w:lang w:eastAsia="sl-SI"/>
              </w:rPr>
              <w:t>II. Število zahtev</w:t>
            </w:r>
          </w:p>
        </w:tc>
        <w:tc>
          <w:tcPr>
            <w:tcW w:w="1260" w:type="dxa"/>
            <w:tcBorders>
              <w:top w:val="nil"/>
              <w:left w:val="nil"/>
              <w:bottom w:val="nil"/>
              <w:right w:val="nil"/>
            </w:tcBorders>
          </w:tcPr>
          <w:p w:rsidR="005C0020" w:rsidRPr="00284764" w:rsidRDefault="005C0020" w:rsidP="0057270B">
            <w:pPr>
              <w:spacing w:line="320" w:lineRule="atLeast"/>
              <w:jc w:val="right"/>
              <w:rPr>
                <w:rFonts w:ascii="Times New Roman" w:hAnsi="Times New Roman" w:cs="Times New Roman"/>
                <w:b/>
                <w:sz w:val="24"/>
                <w:szCs w:val="24"/>
                <w:lang w:eastAsia="sl-SI"/>
              </w:rPr>
            </w:pPr>
            <w:r w:rsidRPr="00284764">
              <w:rPr>
                <w:rFonts w:ascii="Times New Roman" w:hAnsi="Times New Roman" w:cs="Times New Roman"/>
                <w:b/>
                <w:sz w:val="24"/>
                <w:szCs w:val="24"/>
                <w:lang w:eastAsia="sl-SI"/>
              </w:rPr>
              <w:t>51.500</w:t>
            </w:r>
          </w:p>
        </w:tc>
      </w:tr>
      <w:tr w:rsidR="005C0020" w:rsidRPr="00284764" w:rsidTr="0057270B">
        <w:trPr>
          <w:trHeight w:val="255"/>
        </w:trPr>
        <w:tc>
          <w:tcPr>
            <w:tcW w:w="6675" w:type="dxa"/>
            <w:tcBorders>
              <w:top w:val="nil"/>
              <w:left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b/>
                <w:sz w:val="24"/>
                <w:szCs w:val="24"/>
              </w:rPr>
            </w:pPr>
            <w:r w:rsidRPr="00284764">
              <w:rPr>
                <w:rFonts w:ascii="Times New Roman" w:hAnsi="Times New Roman" w:cs="Times New Roman"/>
                <w:b/>
                <w:sz w:val="24"/>
                <w:szCs w:val="24"/>
                <w:lang w:eastAsia="sl-SI"/>
              </w:rPr>
              <w:t>III. Stroškovna (lastna) cena na enoto (= I. / II.)</w:t>
            </w:r>
          </w:p>
        </w:tc>
        <w:tc>
          <w:tcPr>
            <w:tcW w:w="1260" w:type="dxa"/>
            <w:tcBorders>
              <w:top w:val="nil"/>
              <w:left w:val="nil"/>
              <w:bottom w:val="nil"/>
              <w:right w:val="nil"/>
            </w:tcBorders>
          </w:tcPr>
          <w:p w:rsidR="005C0020" w:rsidRPr="00284764" w:rsidRDefault="005C0020" w:rsidP="0057270B">
            <w:pPr>
              <w:spacing w:line="320" w:lineRule="atLeast"/>
              <w:jc w:val="right"/>
              <w:rPr>
                <w:rFonts w:ascii="Times New Roman" w:hAnsi="Times New Roman" w:cs="Times New Roman"/>
                <w:b/>
                <w:sz w:val="24"/>
                <w:szCs w:val="24"/>
                <w:lang w:eastAsia="sl-SI"/>
              </w:rPr>
            </w:pPr>
            <w:r w:rsidRPr="00284764">
              <w:rPr>
                <w:rFonts w:ascii="Times New Roman" w:hAnsi="Times New Roman" w:cs="Times New Roman"/>
                <w:b/>
                <w:sz w:val="24"/>
                <w:szCs w:val="24"/>
                <w:lang w:eastAsia="sl-SI"/>
              </w:rPr>
              <w:t>3,54</w:t>
            </w:r>
          </w:p>
        </w:tc>
      </w:tr>
      <w:tr w:rsidR="005C0020" w:rsidRPr="00284764" w:rsidTr="0057270B">
        <w:trPr>
          <w:trHeight w:val="270"/>
        </w:trPr>
        <w:tc>
          <w:tcPr>
            <w:tcW w:w="6675" w:type="dxa"/>
            <w:tcBorders>
              <w:top w:val="single" w:sz="4" w:space="0" w:color="auto"/>
              <w:left w:val="nil"/>
              <w:right w:val="nil"/>
            </w:tcBorders>
            <w:shd w:val="clear" w:color="auto" w:fill="auto"/>
            <w:noWrap/>
            <w:vAlign w:val="bottom"/>
          </w:tcPr>
          <w:p w:rsidR="005C0020" w:rsidRPr="00284764" w:rsidRDefault="005C0020" w:rsidP="00DF06DD">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*vir: Poročilo o stroških in priho</w:t>
            </w:r>
            <w:r w:rsidR="00DF06DD">
              <w:rPr>
                <w:rFonts w:ascii="Times New Roman" w:hAnsi="Times New Roman" w:cs="Times New Roman"/>
                <w:sz w:val="24"/>
                <w:szCs w:val="24"/>
              </w:rPr>
              <w:t xml:space="preserve">dkih javne službe AJPES za leto </w:t>
            </w:r>
            <w:r w:rsidR="00DF581E">
              <w:rPr>
                <w:rFonts w:ascii="Times New Roman" w:hAnsi="Times New Roman" w:cs="Times New Roman"/>
                <w:sz w:val="24"/>
                <w:szCs w:val="24"/>
              </w:rPr>
              <w:t>2013</w:t>
            </w:r>
          </w:p>
        </w:tc>
        <w:tc>
          <w:tcPr>
            <w:tcW w:w="1260" w:type="dxa"/>
            <w:tcBorders>
              <w:top w:val="single" w:sz="4" w:space="0" w:color="auto"/>
              <w:left w:val="nil"/>
              <w:right w:val="nil"/>
            </w:tcBorders>
          </w:tcPr>
          <w:p w:rsidR="005C0020" w:rsidRPr="00284764" w:rsidRDefault="005C0020" w:rsidP="0057270B">
            <w:pPr>
              <w:spacing w:line="320" w:lineRule="atLeast"/>
              <w:jc w:val="right"/>
              <w:rPr>
                <w:rFonts w:ascii="Times New Roman" w:hAnsi="Times New Roman" w:cs="Times New Roman"/>
                <w:sz w:val="24"/>
                <w:szCs w:val="24"/>
                <w:lang w:eastAsia="sl-SI"/>
              </w:rPr>
            </w:pPr>
          </w:p>
        </w:tc>
      </w:tr>
    </w:tbl>
    <w:p w:rsidR="005C0020" w:rsidRPr="00284764" w:rsidRDefault="005C0020" w:rsidP="005C0020">
      <w:pPr>
        <w:spacing w:line="320" w:lineRule="atLeast"/>
        <w:rPr>
          <w:rFonts w:ascii="Times New Roman" w:hAnsi="Times New Roman" w:cs="Times New Roman"/>
          <w:sz w:val="24"/>
          <w:szCs w:val="24"/>
        </w:rPr>
      </w:pPr>
      <w:r w:rsidRPr="00284764">
        <w:rPr>
          <w:rFonts w:ascii="Times New Roman" w:hAnsi="Times New Roman" w:cs="Times New Roman"/>
          <w:b/>
          <w:sz w:val="24"/>
          <w:szCs w:val="24"/>
          <w:u w:val="single"/>
        </w:rPr>
        <w:lastRenderedPageBreak/>
        <w:t>Tekoči stroški reševanja zahtev</w:t>
      </w:r>
    </w:p>
    <w:p w:rsidR="005C0020" w:rsidRPr="00284764" w:rsidRDefault="005C0020" w:rsidP="005C0020">
      <w:pPr>
        <w:spacing w:line="320" w:lineRule="atLeast"/>
        <w:rPr>
          <w:rFonts w:ascii="Times New Roman" w:hAnsi="Times New Roman" w:cs="Times New Roman"/>
          <w:sz w:val="24"/>
          <w:szCs w:val="24"/>
        </w:rPr>
      </w:pPr>
    </w:p>
    <w:p w:rsidR="005C0020" w:rsidRPr="00284764" w:rsidRDefault="005C0020" w:rsidP="00DF581E">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Neposredne stroške reševanja zahtev sestavljajo stroški dela 4,4 uslužbencev AJPES ter stroški materiala, storitev in druge stroški v skupni višini 137.576 evrov.</w:t>
      </w:r>
    </w:p>
    <w:p w:rsidR="005C0020" w:rsidRPr="00284764" w:rsidRDefault="005C0020" w:rsidP="00DF581E">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Poleg neposrednih stroškov je v celotne stroške reševanja zahtev vključen še del posrednih stroškov javne službe AJPES v višini 44.700 evrov.  </w:t>
      </w:r>
    </w:p>
    <w:p w:rsidR="005C0020" w:rsidRPr="00284764" w:rsidRDefault="005C0020" w:rsidP="00DF581E">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Stroškovna oziroma lastna cena za posredovanje podatkov o transakcijskih računih fizične osebe iz RTR, kot jih določa 144. člen ZPlaSS, znaša 3,54 evra. </w:t>
      </w:r>
    </w:p>
    <w:p w:rsidR="005C0020" w:rsidRPr="00284764" w:rsidRDefault="005C0020" w:rsidP="00DF581E">
      <w:pPr>
        <w:spacing w:line="320" w:lineRule="atLeast"/>
        <w:jc w:val="both"/>
        <w:rPr>
          <w:rFonts w:ascii="Times New Roman" w:hAnsi="Times New Roman" w:cs="Times New Roman"/>
          <w:sz w:val="24"/>
          <w:szCs w:val="24"/>
        </w:rPr>
      </w:pPr>
    </w:p>
    <w:p w:rsidR="005C0020" w:rsidRPr="00284764" w:rsidRDefault="005C0020" w:rsidP="00DF581E">
      <w:pPr>
        <w:spacing w:line="320" w:lineRule="atLeast"/>
        <w:jc w:val="both"/>
        <w:rPr>
          <w:rFonts w:ascii="Times New Roman" w:hAnsi="Times New Roman" w:cs="Times New Roman"/>
          <w:b/>
          <w:sz w:val="24"/>
          <w:szCs w:val="24"/>
        </w:rPr>
      </w:pPr>
      <w:r w:rsidRPr="00284764">
        <w:rPr>
          <w:rFonts w:ascii="Times New Roman" w:hAnsi="Times New Roman" w:cs="Times New Roman"/>
          <w:b/>
          <w:sz w:val="24"/>
          <w:szCs w:val="24"/>
        </w:rPr>
        <w:t>3.2. Določitev nadomestil stroškov za posredovanje podatkov iz RTR glede na način</w:t>
      </w:r>
    </w:p>
    <w:p w:rsidR="005C0020" w:rsidRPr="00284764" w:rsidRDefault="005C0020" w:rsidP="00DF581E">
      <w:pPr>
        <w:spacing w:line="320" w:lineRule="atLeast"/>
        <w:jc w:val="both"/>
        <w:rPr>
          <w:rFonts w:ascii="Times New Roman" w:hAnsi="Times New Roman" w:cs="Times New Roman"/>
          <w:b/>
          <w:sz w:val="24"/>
          <w:szCs w:val="24"/>
        </w:rPr>
      </w:pPr>
      <w:r w:rsidRPr="00284764">
        <w:rPr>
          <w:rFonts w:ascii="Times New Roman" w:hAnsi="Times New Roman" w:cs="Times New Roman"/>
          <w:b/>
          <w:sz w:val="24"/>
          <w:szCs w:val="24"/>
        </w:rPr>
        <w:t xml:space="preserve">       vlaganja  zahtev</w:t>
      </w:r>
    </w:p>
    <w:p w:rsidR="005C0020" w:rsidRPr="00284764" w:rsidRDefault="005C0020" w:rsidP="00DF581E">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Upravičenci lahko vložijo zahteve za pridobitev podatkov iz RTR na podlagi zahteve v predpisani elektronski obliki ali na podlagi zahteve v pisni obliki. Ker so postopki reševanja zahtev, prejetih v elektronski obliki, izvajajo učinkoviteje, je različno določena tudi višina nadomestil stroškov za posredovanje podatkov iz RTR. Višja ( za 4,1 krat) so nadomestila stroškov za posredovanje podatkov iz RTR na podlagi zahtev, vloženih v pisni obliki.</w:t>
      </w:r>
    </w:p>
    <w:p w:rsidR="005C0020" w:rsidRPr="00284764" w:rsidRDefault="005C0020" w:rsidP="00DF581E">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Nadomestila stroškov za posredovanja podatkov iz RTR glede na način vlaganja zahtev so razvidna v preglednici 3.</w:t>
      </w:r>
    </w:p>
    <w:p w:rsidR="005C0020" w:rsidRPr="00284764" w:rsidRDefault="00673106" w:rsidP="005C0020">
      <w:pPr>
        <w:spacing w:line="320" w:lineRule="atLeast"/>
        <w:rPr>
          <w:rFonts w:ascii="Times New Roman" w:hAnsi="Times New Roman" w:cs="Times New Roman"/>
          <w:b/>
          <w:sz w:val="24"/>
          <w:szCs w:val="24"/>
        </w:rPr>
      </w:pPr>
      <w:r>
        <w:rPr>
          <w:rFonts w:ascii="Times New Roman" w:hAnsi="Times New Roman" w:cs="Times New Roman"/>
          <w:b/>
          <w:sz w:val="24"/>
          <w:szCs w:val="24"/>
        </w:rPr>
        <w:t>Preglednica 3.</w:t>
      </w:r>
      <w:r w:rsidR="005C0020" w:rsidRPr="00284764">
        <w:rPr>
          <w:rFonts w:ascii="Times New Roman" w:hAnsi="Times New Roman" w:cs="Times New Roman"/>
          <w:b/>
          <w:sz w:val="24"/>
          <w:szCs w:val="24"/>
        </w:rPr>
        <w:t xml:space="preserve"> Prikaz izračuna nadomestil stroškov za posredovanje podatkov iz RTR</w:t>
      </w:r>
    </w:p>
    <w:tbl>
      <w:tblPr>
        <w:tblW w:w="8700" w:type="dxa"/>
        <w:tblInd w:w="98" w:type="dxa"/>
        <w:tblLook w:val="0000" w:firstRow="0" w:lastRow="0" w:firstColumn="0" w:lastColumn="0" w:noHBand="0" w:noVBand="0"/>
      </w:tblPr>
      <w:tblGrid>
        <w:gridCol w:w="5253"/>
        <w:gridCol w:w="276"/>
        <w:gridCol w:w="276"/>
        <w:gridCol w:w="1015"/>
        <w:gridCol w:w="1888"/>
      </w:tblGrid>
      <w:tr w:rsidR="005C0020" w:rsidRPr="00284764" w:rsidTr="0057270B">
        <w:trPr>
          <w:trHeight w:val="510"/>
        </w:trPr>
        <w:tc>
          <w:tcPr>
            <w:tcW w:w="5253" w:type="dxa"/>
            <w:tcBorders>
              <w:top w:val="single" w:sz="4" w:space="0" w:color="auto"/>
              <w:left w:val="single" w:sz="4" w:space="0" w:color="auto"/>
              <w:bottom w:val="single" w:sz="4" w:space="0" w:color="000000"/>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eastAsia="zh-CN"/>
              </w:rPr>
            </w:pPr>
            <w:r w:rsidRPr="00284764">
              <w:rPr>
                <w:rFonts w:ascii="Times New Roman" w:hAnsi="Times New Roman" w:cs="Times New Roman"/>
                <w:sz w:val="24"/>
                <w:szCs w:val="24"/>
                <w:lang w:eastAsia="zh-CN"/>
              </w:rPr>
              <w:t> </w:t>
            </w:r>
          </w:p>
        </w:tc>
        <w:tc>
          <w:tcPr>
            <w:tcW w:w="272" w:type="dxa"/>
            <w:tcBorders>
              <w:top w:val="single" w:sz="4" w:space="0" w:color="auto"/>
              <w:left w:val="nil"/>
              <w:bottom w:val="single" w:sz="4" w:space="0" w:color="000000"/>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eastAsia="zh-CN"/>
              </w:rPr>
            </w:pPr>
            <w:r w:rsidRPr="00284764">
              <w:rPr>
                <w:rFonts w:ascii="Times New Roman" w:hAnsi="Times New Roman" w:cs="Times New Roman"/>
                <w:sz w:val="24"/>
                <w:szCs w:val="24"/>
                <w:lang w:eastAsia="zh-CN"/>
              </w:rPr>
              <w:t> </w:t>
            </w:r>
          </w:p>
        </w:tc>
        <w:tc>
          <w:tcPr>
            <w:tcW w:w="272" w:type="dxa"/>
            <w:tcBorders>
              <w:top w:val="single" w:sz="4" w:space="0" w:color="auto"/>
              <w:left w:val="nil"/>
              <w:bottom w:val="single" w:sz="4" w:space="0" w:color="000000"/>
              <w:right w:val="single" w:sz="4" w:space="0" w:color="000000"/>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eastAsia="zh-CN"/>
              </w:rPr>
            </w:pPr>
            <w:r w:rsidRPr="00284764">
              <w:rPr>
                <w:rFonts w:ascii="Times New Roman" w:hAnsi="Times New Roman" w:cs="Times New Roman"/>
                <w:sz w:val="24"/>
                <w:szCs w:val="24"/>
                <w:lang w:eastAsia="zh-CN"/>
              </w:rPr>
              <w:t> </w:t>
            </w:r>
          </w:p>
        </w:tc>
        <w:tc>
          <w:tcPr>
            <w:tcW w:w="1015" w:type="dxa"/>
            <w:tcBorders>
              <w:top w:val="single" w:sz="4" w:space="0" w:color="auto"/>
              <w:left w:val="nil"/>
              <w:bottom w:val="single" w:sz="4" w:space="0" w:color="000000"/>
              <w:right w:val="single" w:sz="4" w:space="0" w:color="auto"/>
            </w:tcBorders>
            <w:shd w:val="clear" w:color="auto" w:fill="auto"/>
            <w:noWrap/>
            <w:vAlign w:val="bottom"/>
          </w:tcPr>
          <w:p w:rsidR="005C0020" w:rsidRPr="00284764" w:rsidRDefault="005C0020" w:rsidP="0057270B">
            <w:pPr>
              <w:spacing w:line="320" w:lineRule="atLeast"/>
              <w:jc w:val="right"/>
              <w:rPr>
                <w:rFonts w:ascii="Times New Roman" w:hAnsi="Times New Roman" w:cs="Times New Roman"/>
                <w:sz w:val="24"/>
                <w:szCs w:val="24"/>
                <w:lang w:val="en-GB" w:eastAsia="zh-CN"/>
              </w:rPr>
            </w:pPr>
            <w:proofErr w:type="spellStart"/>
            <w:r w:rsidRPr="00284764">
              <w:rPr>
                <w:rFonts w:ascii="Times New Roman" w:hAnsi="Times New Roman" w:cs="Times New Roman"/>
                <w:sz w:val="24"/>
                <w:szCs w:val="24"/>
                <w:lang w:val="en-GB" w:eastAsia="zh-CN"/>
              </w:rPr>
              <w:t>Faktor</w:t>
            </w:r>
            <w:proofErr w:type="spellEnd"/>
          </w:p>
        </w:tc>
        <w:tc>
          <w:tcPr>
            <w:tcW w:w="1888" w:type="dxa"/>
            <w:tcBorders>
              <w:top w:val="single" w:sz="4" w:space="0" w:color="auto"/>
              <w:left w:val="nil"/>
              <w:bottom w:val="single" w:sz="4" w:space="0" w:color="000000"/>
              <w:right w:val="single" w:sz="4" w:space="0" w:color="auto"/>
            </w:tcBorders>
            <w:shd w:val="clear" w:color="auto" w:fill="auto"/>
            <w:vAlign w:val="bottom"/>
          </w:tcPr>
          <w:p w:rsidR="005C0020" w:rsidRPr="00284764" w:rsidRDefault="005C0020" w:rsidP="0057270B">
            <w:pPr>
              <w:spacing w:line="320" w:lineRule="atLeast"/>
              <w:ind w:right="100"/>
              <w:jc w:val="center"/>
              <w:rPr>
                <w:rFonts w:ascii="Times New Roman" w:hAnsi="Times New Roman" w:cs="Times New Roman"/>
                <w:sz w:val="24"/>
                <w:szCs w:val="24"/>
                <w:lang w:val="pl-PL" w:eastAsia="zh-CN"/>
              </w:rPr>
            </w:pPr>
            <w:r w:rsidRPr="00284764">
              <w:rPr>
                <w:rFonts w:ascii="Times New Roman" w:hAnsi="Times New Roman" w:cs="Times New Roman"/>
                <w:sz w:val="24"/>
                <w:szCs w:val="24"/>
                <w:lang w:val="pl-PL" w:eastAsia="zh-CN"/>
              </w:rPr>
              <w:t xml:space="preserve">Cena  </w:t>
            </w:r>
            <w:r w:rsidRPr="00284764">
              <w:rPr>
                <w:rFonts w:ascii="Times New Roman" w:hAnsi="Times New Roman" w:cs="Times New Roman"/>
                <w:sz w:val="24"/>
                <w:szCs w:val="24"/>
                <w:lang w:val="pl-PL" w:eastAsia="zh-CN"/>
              </w:rPr>
              <w:br/>
              <w:t xml:space="preserve"> v evrih brez DDV</w:t>
            </w:r>
          </w:p>
        </w:tc>
      </w:tr>
      <w:tr w:rsidR="005C0020" w:rsidRPr="00284764" w:rsidTr="0057270B">
        <w:trPr>
          <w:trHeight w:val="255"/>
        </w:trPr>
        <w:tc>
          <w:tcPr>
            <w:tcW w:w="5253" w:type="dxa"/>
            <w:tcBorders>
              <w:top w:val="nil"/>
              <w:left w:val="single" w:sz="4" w:space="0" w:color="auto"/>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proofErr w:type="spellStart"/>
            <w:r w:rsidRPr="00284764">
              <w:rPr>
                <w:rFonts w:ascii="Times New Roman" w:hAnsi="Times New Roman" w:cs="Times New Roman"/>
                <w:sz w:val="24"/>
                <w:szCs w:val="24"/>
                <w:lang w:val="en-GB" w:eastAsia="zh-CN"/>
              </w:rPr>
              <w:t>Elektronske</w:t>
            </w:r>
            <w:proofErr w:type="spellEnd"/>
            <w:r w:rsidRPr="00284764">
              <w:rPr>
                <w:rFonts w:ascii="Times New Roman" w:hAnsi="Times New Roman" w:cs="Times New Roman"/>
                <w:sz w:val="24"/>
                <w:szCs w:val="24"/>
                <w:lang w:val="en-GB" w:eastAsia="zh-CN"/>
              </w:rPr>
              <w:t xml:space="preserve"> </w:t>
            </w:r>
            <w:proofErr w:type="spellStart"/>
            <w:r w:rsidRPr="00284764">
              <w:rPr>
                <w:rFonts w:ascii="Times New Roman" w:hAnsi="Times New Roman" w:cs="Times New Roman"/>
                <w:sz w:val="24"/>
                <w:szCs w:val="24"/>
                <w:lang w:val="en-GB" w:eastAsia="zh-CN"/>
              </w:rPr>
              <w:t>zahteve</w:t>
            </w:r>
            <w:proofErr w:type="spellEnd"/>
            <w:r w:rsidRPr="00284764">
              <w:rPr>
                <w:rFonts w:ascii="Times New Roman" w:hAnsi="Times New Roman" w:cs="Times New Roman"/>
                <w:sz w:val="24"/>
                <w:szCs w:val="24"/>
                <w:lang w:val="en-GB" w:eastAsia="zh-CN"/>
              </w:rPr>
              <w:t xml:space="preserve"> </w:t>
            </w:r>
          </w:p>
        </w:tc>
        <w:tc>
          <w:tcPr>
            <w:tcW w:w="272" w:type="dxa"/>
            <w:tcBorders>
              <w:top w:val="nil"/>
              <w:left w:val="nil"/>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p>
        </w:tc>
        <w:tc>
          <w:tcPr>
            <w:tcW w:w="272" w:type="dxa"/>
            <w:tcBorders>
              <w:top w:val="nil"/>
              <w:left w:val="nil"/>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p>
        </w:tc>
        <w:tc>
          <w:tcPr>
            <w:tcW w:w="1015" w:type="dxa"/>
            <w:tcBorders>
              <w:top w:val="nil"/>
              <w:left w:val="single" w:sz="4" w:space="0" w:color="000000"/>
              <w:bottom w:val="nil"/>
              <w:right w:val="single" w:sz="4" w:space="0" w:color="000000"/>
            </w:tcBorders>
            <w:shd w:val="clear" w:color="auto" w:fill="auto"/>
            <w:noWrap/>
            <w:vAlign w:val="bottom"/>
          </w:tcPr>
          <w:p w:rsidR="005C0020" w:rsidRPr="00284764" w:rsidRDefault="005C0020" w:rsidP="0057270B">
            <w:pPr>
              <w:spacing w:line="320" w:lineRule="atLeast"/>
              <w:jc w:val="righ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0,51</w:t>
            </w:r>
          </w:p>
        </w:tc>
        <w:tc>
          <w:tcPr>
            <w:tcW w:w="1888" w:type="dxa"/>
            <w:tcBorders>
              <w:top w:val="nil"/>
              <w:left w:val="nil"/>
              <w:bottom w:val="nil"/>
              <w:right w:val="single" w:sz="4" w:space="0" w:color="auto"/>
            </w:tcBorders>
            <w:shd w:val="clear" w:color="auto" w:fill="auto"/>
            <w:noWrap/>
            <w:vAlign w:val="bottom"/>
          </w:tcPr>
          <w:p w:rsidR="005C0020" w:rsidRPr="00284764" w:rsidRDefault="005C0020" w:rsidP="0057270B">
            <w:pPr>
              <w:spacing w:line="320" w:lineRule="atLeast"/>
              <w:jc w:val="righ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1,82</w:t>
            </w:r>
          </w:p>
        </w:tc>
      </w:tr>
      <w:tr w:rsidR="005C0020" w:rsidRPr="00284764" w:rsidTr="0057270B">
        <w:trPr>
          <w:trHeight w:val="255"/>
        </w:trPr>
        <w:tc>
          <w:tcPr>
            <w:tcW w:w="5253" w:type="dxa"/>
            <w:tcBorders>
              <w:top w:val="nil"/>
              <w:left w:val="single" w:sz="4" w:space="0" w:color="auto"/>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proofErr w:type="spellStart"/>
            <w:r w:rsidRPr="00284764">
              <w:rPr>
                <w:rFonts w:ascii="Times New Roman" w:hAnsi="Times New Roman" w:cs="Times New Roman"/>
                <w:sz w:val="24"/>
                <w:szCs w:val="24"/>
                <w:lang w:val="en-GB" w:eastAsia="zh-CN"/>
              </w:rPr>
              <w:t>Pisne</w:t>
            </w:r>
            <w:proofErr w:type="spellEnd"/>
            <w:r w:rsidRPr="00284764">
              <w:rPr>
                <w:rFonts w:ascii="Times New Roman" w:hAnsi="Times New Roman" w:cs="Times New Roman"/>
                <w:sz w:val="24"/>
                <w:szCs w:val="24"/>
                <w:lang w:val="en-GB" w:eastAsia="zh-CN"/>
              </w:rPr>
              <w:t xml:space="preserve"> </w:t>
            </w:r>
            <w:proofErr w:type="spellStart"/>
            <w:r w:rsidRPr="00284764">
              <w:rPr>
                <w:rFonts w:ascii="Times New Roman" w:hAnsi="Times New Roman" w:cs="Times New Roman"/>
                <w:sz w:val="24"/>
                <w:szCs w:val="24"/>
                <w:lang w:val="en-GB" w:eastAsia="zh-CN"/>
              </w:rPr>
              <w:t>zahteve</w:t>
            </w:r>
            <w:proofErr w:type="spellEnd"/>
            <w:r w:rsidRPr="00284764">
              <w:rPr>
                <w:rFonts w:ascii="Times New Roman" w:hAnsi="Times New Roman" w:cs="Times New Roman"/>
                <w:sz w:val="24"/>
                <w:szCs w:val="24"/>
                <w:lang w:val="en-GB" w:eastAsia="zh-CN"/>
              </w:rPr>
              <w:t xml:space="preserve"> </w:t>
            </w:r>
          </w:p>
        </w:tc>
        <w:tc>
          <w:tcPr>
            <w:tcW w:w="272" w:type="dxa"/>
            <w:tcBorders>
              <w:top w:val="nil"/>
              <w:left w:val="nil"/>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p>
        </w:tc>
        <w:tc>
          <w:tcPr>
            <w:tcW w:w="272" w:type="dxa"/>
            <w:tcBorders>
              <w:top w:val="nil"/>
              <w:left w:val="nil"/>
              <w:bottom w:val="nil"/>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p>
        </w:tc>
        <w:tc>
          <w:tcPr>
            <w:tcW w:w="1015" w:type="dxa"/>
            <w:tcBorders>
              <w:top w:val="nil"/>
              <w:left w:val="single" w:sz="4" w:space="0" w:color="000000"/>
              <w:bottom w:val="nil"/>
              <w:right w:val="single" w:sz="4" w:space="0" w:color="000000"/>
            </w:tcBorders>
            <w:shd w:val="clear" w:color="auto" w:fill="auto"/>
            <w:noWrap/>
            <w:vAlign w:val="bottom"/>
          </w:tcPr>
          <w:p w:rsidR="005C0020" w:rsidRPr="00284764" w:rsidRDefault="005C0020" w:rsidP="0057270B">
            <w:pPr>
              <w:spacing w:line="320" w:lineRule="atLeast"/>
              <w:jc w:val="righ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2,63</w:t>
            </w:r>
          </w:p>
        </w:tc>
        <w:tc>
          <w:tcPr>
            <w:tcW w:w="1888" w:type="dxa"/>
            <w:tcBorders>
              <w:top w:val="nil"/>
              <w:left w:val="nil"/>
              <w:bottom w:val="nil"/>
              <w:right w:val="single" w:sz="4" w:space="0" w:color="auto"/>
            </w:tcBorders>
            <w:shd w:val="clear" w:color="auto" w:fill="auto"/>
            <w:noWrap/>
            <w:vAlign w:val="bottom"/>
          </w:tcPr>
          <w:p w:rsidR="005C0020" w:rsidRPr="00284764" w:rsidRDefault="005C0020" w:rsidP="0057270B">
            <w:pPr>
              <w:spacing w:line="320" w:lineRule="atLeast"/>
              <w:jc w:val="righ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9,31</w:t>
            </w:r>
          </w:p>
        </w:tc>
      </w:tr>
      <w:tr w:rsidR="005C0020" w:rsidRPr="00284764" w:rsidTr="0057270B">
        <w:trPr>
          <w:trHeight w:val="255"/>
        </w:trPr>
        <w:tc>
          <w:tcPr>
            <w:tcW w:w="5253" w:type="dxa"/>
            <w:tcBorders>
              <w:top w:val="nil"/>
              <w:left w:val="single" w:sz="4" w:space="0" w:color="auto"/>
              <w:bottom w:val="single" w:sz="4" w:space="0" w:color="auto"/>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proofErr w:type="spellStart"/>
            <w:r w:rsidRPr="00284764">
              <w:rPr>
                <w:rFonts w:ascii="Times New Roman" w:hAnsi="Times New Roman" w:cs="Times New Roman"/>
                <w:sz w:val="24"/>
                <w:szCs w:val="24"/>
                <w:lang w:val="en-GB" w:eastAsia="zh-CN"/>
              </w:rPr>
              <w:t>Izhodiščna</w:t>
            </w:r>
            <w:proofErr w:type="spellEnd"/>
            <w:r w:rsidRPr="00284764">
              <w:rPr>
                <w:rFonts w:ascii="Times New Roman" w:hAnsi="Times New Roman" w:cs="Times New Roman"/>
                <w:sz w:val="24"/>
                <w:szCs w:val="24"/>
                <w:lang w:val="en-GB" w:eastAsia="zh-CN"/>
              </w:rPr>
              <w:t xml:space="preserve"> </w:t>
            </w:r>
            <w:proofErr w:type="spellStart"/>
            <w:r w:rsidRPr="00284764">
              <w:rPr>
                <w:rFonts w:ascii="Times New Roman" w:hAnsi="Times New Roman" w:cs="Times New Roman"/>
                <w:sz w:val="24"/>
                <w:szCs w:val="24"/>
                <w:lang w:val="en-GB" w:eastAsia="zh-CN"/>
              </w:rPr>
              <w:t>cena</w:t>
            </w:r>
            <w:proofErr w:type="spellEnd"/>
          </w:p>
        </w:tc>
        <w:tc>
          <w:tcPr>
            <w:tcW w:w="272" w:type="dxa"/>
            <w:tcBorders>
              <w:top w:val="nil"/>
              <w:left w:val="nil"/>
              <w:bottom w:val="single" w:sz="4" w:space="0" w:color="auto"/>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 </w:t>
            </w:r>
          </w:p>
        </w:tc>
        <w:tc>
          <w:tcPr>
            <w:tcW w:w="272" w:type="dxa"/>
            <w:tcBorders>
              <w:top w:val="nil"/>
              <w:left w:val="nil"/>
              <w:bottom w:val="single" w:sz="4" w:space="0" w:color="auto"/>
              <w:right w:val="nil"/>
            </w:tcBorders>
            <w:shd w:val="clear" w:color="auto" w:fill="auto"/>
            <w:noWrap/>
            <w:vAlign w:val="bottom"/>
          </w:tcPr>
          <w:p w:rsidR="005C0020" w:rsidRPr="00284764" w:rsidRDefault="005C0020" w:rsidP="0057270B">
            <w:pPr>
              <w:spacing w:line="320" w:lineRule="atLeas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 </w:t>
            </w:r>
          </w:p>
        </w:tc>
        <w:tc>
          <w:tcPr>
            <w:tcW w:w="1015" w:type="dxa"/>
            <w:tcBorders>
              <w:top w:val="nil"/>
              <w:left w:val="single" w:sz="4" w:space="0" w:color="000000"/>
              <w:bottom w:val="single" w:sz="4" w:space="0" w:color="auto"/>
              <w:right w:val="single" w:sz="4" w:space="0" w:color="000000"/>
            </w:tcBorders>
            <w:shd w:val="clear" w:color="auto" w:fill="auto"/>
            <w:noWrap/>
            <w:vAlign w:val="bottom"/>
          </w:tcPr>
          <w:p w:rsidR="005C0020" w:rsidRPr="00284764" w:rsidRDefault="005C0020" w:rsidP="0057270B">
            <w:pPr>
              <w:spacing w:line="320" w:lineRule="atLeast"/>
              <w:jc w:val="righ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1,00</w:t>
            </w:r>
          </w:p>
        </w:tc>
        <w:tc>
          <w:tcPr>
            <w:tcW w:w="1888" w:type="dxa"/>
            <w:tcBorders>
              <w:top w:val="nil"/>
              <w:left w:val="nil"/>
              <w:bottom w:val="single" w:sz="4" w:space="0" w:color="auto"/>
              <w:right w:val="single" w:sz="4" w:space="0" w:color="auto"/>
            </w:tcBorders>
            <w:shd w:val="clear" w:color="auto" w:fill="auto"/>
            <w:noWrap/>
            <w:vAlign w:val="bottom"/>
          </w:tcPr>
          <w:p w:rsidR="005C0020" w:rsidRPr="00284764" w:rsidRDefault="005C0020" w:rsidP="0057270B">
            <w:pPr>
              <w:spacing w:line="320" w:lineRule="atLeast"/>
              <w:jc w:val="right"/>
              <w:rPr>
                <w:rFonts w:ascii="Times New Roman" w:hAnsi="Times New Roman" w:cs="Times New Roman"/>
                <w:sz w:val="24"/>
                <w:szCs w:val="24"/>
                <w:lang w:val="en-GB" w:eastAsia="zh-CN"/>
              </w:rPr>
            </w:pPr>
            <w:r w:rsidRPr="00284764">
              <w:rPr>
                <w:rFonts w:ascii="Times New Roman" w:hAnsi="Times New Roman" w:cs="Times New Roman"/>
                <w:sz w:val="24"/>
                <w:szCs w:val="24"/>
                <w:lang w:val="en-GB" w:eastAsia="zh-CN"/>
              </w:rPr>
              <w:t>3,54</w:t>
            </w:r>
          </w:p>
        </w:tc>
      </w:tr>
    </w:tbl>
    <w:p w:rsidR="005C0020" w:rsidRDefault="005C0020" w:rsidP="005C0020">
      <w:pPr>
        <w:spacing w:line="320" w:lineRule="atLeast"/>
        <w:rPr>
          <w:rFonts w:ascii="Times New Roman" w:hAnsi="Times New Roman" w:cs="Times New Roman"/>
          <w:b/>
          <w:sz w:val="24"/>
          <w:szCs w:val="24"/>
        </w:rPr>
      </w:pPr>
    </w:p>
    <w:p w:rsidR="00673106" w:rsidRDefault="00673106" w:rsidP="005B7170">
      <w:pPr>
        <w:pStyle w:val="doc"/>
        <w:spacing w:after="0" w:line="240" w:lineRule="auto"/>
        <w:rPr>
          <w:rFonts w:ascii="Times New Roman" w:hAnsi="Times New Roman" w:cs="Times New Roman"/>
          <w:b/>
          <w:color w:val="000000" w:themeColor="text1"/>
          <w:sz w:val="24"/>
          <w:szCs w:val="24"/>
        </w:rPr>
      </w:pPr>
    </w:p>
    <w:p w:rsidR="005B7170" w:rsidRPr="00284764" w:rsidRDefault="005B7170" w:rsidP="005B7170">
      <w:pPr>
        <w:pStyle w:val="doc"/>
        <w:spacing w:after="0" w:line="240" w:lineRule="auto"/>
        <w:rPr>
          <w:rFonts w:ascii="Times New Roman" w:hAnsi="Times New Roman" w:cs="Times New Roman"/>
          <w:b/>
          <w:color w:val="000000" w:themeColor="text1"/>
          <w:sz w:val="24"/>
          <w:szCs w:val="24"/>
        </w:rPr>
      </w:pPr>
      <w:r w:rsidRPr="00284764">
        <w:rPr>
          <w:rFonts w:ascii="Times New Roman" w:hAnsi="Times New Roman" w:cs="Times New Roman"/>
          <w:b/>
          <w:color w:val="000000" w:themeColor="text1"/>
          <w:sz w:val="24"/>
          <w:szCs w:val="24"/>
        </w:rPr>
        <w:t>II. OCENA FINANČNIH POSLEDIC</w:t>
      </w:r>
    </w:p>
    <w:p w:rsidR="00673106" w:rsidRDefault="00673106" w:rsidP="005B7170">
      <w:pPr>
        <w:spacing w:line="32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5C0020" w:rsidRPr="00284764" w:rsidRDefault="005C0020" w:rsidP="005B7170">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Predvideno je, da bo AJPES v letu 2015 prejel okoli 51.000 zahtev za pridobitev podatkov iz RTR, od tega 1/3 zaračunljivih. </w:t>
      </w:r>
    </w:p>
    <w:p w:rsidR="005C0020" w:rsidRPr="00284764" w:rsidRDefault="007309E5" w:rsidP="005B7170">
      <w:pPr>
        <w:spacing w:line="320" w:lineRule="atLeast"/>
        <w:jc w:val="both"/>
        <w:rPr>
          <w:rFonts w:ascii="Times New Roman" w:hAnsi="Times New Roman" w:cs="Times New Roman"/>
          <w:sz w:val="24"/>
          <w:szCs w:val="24"/>
        </w:rPr>
      </w:pPr>
      <w:r>
        <w:rPr>
          <w:rFonts w:ascii="Times New Roman" w:hAnsi="Times New Roman" w:cs="Times New Roman"/>
          <w:sz w:val="24"/>
          <w:szCs w:val="24"/>
        </w:rPr>
        <w:lastRenderedPageBreak/>
        <w:t>Večina prosilcev (</w:t>
      </w:r>
      <w:r w:rsidR="005C0020" w:rsidRPr="00284764">
        <w:rPr>
          <w:rFonts w:ascii="Times New Roman" w:hAnsi="Times New Roman" w:cs="Times New Roman"/>
          <w:sz w:val="24"/>
          <w:szCs w:val="24"/>
        </w:rPr>
        <w:t xml:space="preserve">sodišča, drugi državni organi, nosilci javnih pooblastil, odvetniki) je namreč skladno s 147. členom ZPlaSS na podlagi posebnega zakona upravičenih do brezplačne pridobitve podatkov. Med večjimi uporabniki podatkov iz RTR so prav odvetniki, ki so na podlagi 10. člena ZOdv upravičeni do brezplačnih storitev. </w:t>
      </w:r>
    </w:p>
    <w:p w:rsidR="005C0020" w:rsidRPr="00284764" w:rsidRDefault="005C0020" w:rsidP="005B7170">
      <w:pPr>
        <w:spacing w:line="320" w:lineRule="atLeast"/>
        <w:jc w:val="both"/>
        <w:rPr>
          <w:rFonts w:ascii="Times New Roman" w:hAnsi="Times New Roman" w:cs="Times New Roman"/>
          <w:sz w:val="24"/>
          <w:szCs w:val="24"/>
        </w:rPr>
      </w:pPr>
      <w:r w:rsidRPr="00284764">
        <w:rPr>
          <w:rFonts w:ascii="Times New Roman" w:hAnsi="Times New Roman" w:cs="Times New Roman"/>
          <w:sz w:val="24"/>
          <w:szCs w:val="24"/>
        </w:rPr>
        <w:t xml:space="preserve">Prihodki iz naslova posredovanja podatkov iz RTR so ocenjeni na 62.000 evrov, stroški opravljanja navedenih storitev pa na okoli 180.000 evrov. Izpad prihodkov v višini 118.000 evrov zaradi nudenja brezplačnih storitev določenim prosilcem skladno z ZPlaSS, bo AJPES pokril iz državnega proračuna. </w:t>
      </w:r>
    </w:p>
    <w:p w:rsidR="005B7170" w:rsidRDefault="005B7170"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986648" w:rsidRDefault="00986648"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673106" w:rsidRDefault="00673106" w:rsidP="005B7170">
      <w:pPr>
        <w:pStyle w:val="doc"/>
        <w:spacing w:line="240" w:lineRule="auto"/>
        <w:rPr>
          <w:rFonts w:ascii="Times New Roman" w:hAnsi="Times New Roman" w:cs="Times New Roman"/>
          <w:b/>
          <w:color w:val="000000" w:themeColor="text1"/>
          <w:sz w:val="24"/>
          <w:szCs w:val="24"/>
        </w:rPr>
      </w:pPr>
    </w:p>
    <w:p w:rsidR="00986648" w:rsidRPr="00284764" w:rsidRDefault="00986648" w:rsidP="005B7170">
      <w:pPr>
        <w:pStyle w:val="doc"/>
        <w:spacing w:line="240" w:lineRule="auto"/>
        <w:rPr>
          <w:rFonts w:ascii="Times New Roman" w:hAnsi="Times New Roman" w:cs="Times New Roman"/>
          <w:b/>
          <w:color w:val="000000" w:themeColor="text1"/>
          <w:sz w:val="24"/>
          <w:szCs w:val="24"/>
        </w:rPr>
      </w:pPr>
    </w:p>
    <w:p w:rsidR="007309E5" w:rsidRDefault="007309E5" w:rsidP="005B7170">
      <w:pPr>
        <w:pStyle w:val="doc"/>
        <w:spacing w:line="240" w:lineRule="auto"/>
        <w:rPr>
          <w:rFonts w:ascii="Times New Roman" w:hAnsi="Times New Roman" w:cs="Times New Roman"/>
          <w:b/>
          <w:color w:val="000000" w:themeColor="text1"/>
          <w:sz w:val="24"/>
          <w:szCs w:val="24"/>
        </w:rPr>
      </w:pPr>
    </w:p>
    <w:p w:rsidR="007309E5" w:rsidRDefault="007309E5" w:rsidP="005B7170">
      <w:pPr>
        <w:pStyle w:val="doc"/>
        <w:spacing w:line="240" w:lineRule="auto"/>
        <w:rPr>
          <w:rFonts w:ascii="Times New Roman" w:hAnsi="Times New Roman" w:cs="Times New Roman"/>
          <w:b/>
          <w:color w:val="000000" w:themeColor="text1"/>
          <w:sz w:val="24"/>
          <w:szCs w:val="24"/>
        </w:rPr>
      </w:pPr>
    </w:p>
    <w:p w:rsidR="005B7170" w:rsidRPr="00284764" w:rsidRDefault="005B7170" w:rsidP="005B7170">
      <w:pPr>
        <w:pStyle w:val="doc"/>
        <w:spacing w:line="240" w:lineRule="auto"/>
        <w:rPr>
          <w:rFonts w:ascii="Times New Roman" w:hAnsi="Times New Roman" w:cs="Times New Roman"/>
          <w:b/>
          <w:color w:val="000000" w:themeColor="text1"/>
          <w:sz w:val="24"/>
          <w:szCs w:val="24"/>
        </w:rPr>
      </w:pPr>
      <w:r w:rsidRPr="00284764">
        <w:rPr>
          <w:rFonts w:ascii="Times New Roman" w:hAnsi="Times New Roman" w:cs="Times New Roman"/>
          <w:b/>
          <w:color w:val="000000" w:themeColor="text1"/>
          <w:sz w:val="24"/>
          <w:szCs w:val="24"/>
        </w:rPr>
        <w:lastRenderedPageBreak/>
        <w:t>III. PREDLOG SPREMEMBE TARIFE</w:t>
      </w:r>
    </w:p>
    <w:p w:rsidR="005B7170" w:rsidRPr="00284764" w:rsidRDefault="005B7170" w:rsidP="00546739">
      <w:pPr>
        <w:pStyle w:val="doc"/>
        <w:spacing w:line="240" w:lineRule="auto"/>
        <w:rPr>
          <w:rFonts w:ascii="Times New Roman" w:hAnsi="Times New Roman" w:cs="Times New Roman"/>
          <w:bCs/>
          <w:sz w:val="24"/>
          <w:szCs w:val="24"/>
        </w:rPr>
      </w:pPr>
    </w:p>
    <w:p w:rsidR="00546739" w:rsidRPr="00284764" w:rsidRDefault="005C0020" w:rsidP="00546739">
      <w:pPr>
        <w:pStyle w:val="doc"/>
        <w:spacing w:line="240" w:lineRule="auto"/>
        <w:rPr>
          <w:rFonts w:ascii="Times New Roman" w:hAnsi="Times New Roman" w:cs="Times New Roman"/>
          <w:color w:val="000000" w:themeColor="text1"/>
          <w:sz w:val="24"/>
          <w:szCs w:val="24"/>
        </w:rPr>
      </w:pPr>
      <w:r w:rsidRPr="00284764">
        <w:rPr>
          <w:rFonts w:ascii="Times New Roman" w:hAnsi="Times New Roman" w:cs="Times New Roman"/>
          <w:bCs/>
          <w:sz w:val="24"/>
          <w:szCs w:val="24"/>
        </w:rPr>
        <w:t>Na podlagi sedmega odstavka 147. člena Zakona o plačilnih storitvah in sistemih (Uradni list RS, št. 58/09, 34/10, 9/11 in 32/12)</w:t>
      </w:r>
      <w:r w:rsidRPr="00284764">
        <w:rPr>
          <w:rFonts w:ascii="Times New Roman" w:hAnsi="Times New Roman" w:cs="Times New Roman"/>
          <w:sz w:val="24"/>
          <w:szCs w:val="24"/>
        </w:rPr>
        <w:t xml:space="preserve">, 40. člena Zakona o javnih agencijah (Uradni list RS, št. 52/02, 51/04-EZ-A in 3/11-ZEKom-C) in 3. točke 15. člena </w:t>
      </w:r>
      <w:r w:rsidRPr="00284764">
        <w:rPr>
          <w:rFonts w:ascii="Times New Roman" w:hAnsi="Times New Roman" w:cs="Times New Roman"/>
          <w:bCs/>
          <w:sz w:val="24"/>
          <w:szCs w:val="24"/>
        </w:rPr>
        <w:t xml:space="preserve">Sklepa o ustanovitvi Agencije Republike Slovenije za javnopravne evidence in storitve (Uradni list RS, št. 53/02, 87/02 in 16/07) </w:t>
      </w:r>
      <w:r w:rsidR="00546739" w:rsidRPr="00284764">
        <w:rPr>
          <w:rFonts w:ascii="Times New Roman" w:hAnsi="Times New Roman" w:cs="Times New Roman"/>
          <w:color w:val="000000" w:themeColor="text1"/>
          <w:sz w:val="24"/>
          <w:szCs w:val="24"/>
        </w:rPr>
        <w:t>ter v soglasju z ministrom, pristojnim za pravosodje (št. ……) Svet Agencije Republike Slovenije za javnopravne evidence in storitve sprejema</w:t>
      </w:r>
    </w:p>
    <w:p w:rsidR="005C0020" w:rsidRPr="00284764" w:rsidRDefault="005C0020" w:rsidP="00546739">
      <w:pPr>
        <w:tabs>
          <w:tab w:val="left" w:pos="360"/>
        </w:tabs>
        <w:spacing w:line="320" w:lineRule="atLeast"/>
        <w:rPr>
          <w:rFonts w:ascii="Times New Roman" w:hAnsi="Times New Roman" w:cs="Times New Roman"/>
          <w:bCs/>
          <w:sz w:val="24"/>
          <w:szCs w:val="24"/>
          <w:lang w:eastAsia="sl-SI"/>
        </w:rPr>
      </w:pPr>
    </w:p>
    <w:p w:rsidR="005C0020" w:rsidRPr="00284764" w:rsidRDefault="008449A8" w:rsidP="008449A8">
      <w:pPr>
        <w:spacing w:line="320" w:lineRule="atLeast"/>
        <w:jc w:val="center"/>
        <w:outlineLvl w:val="0"/>
        <w:rPr>
          <w:rFonts w:ascii="Times New Roman" w:hAnsi="Times New Roman" w:cs="Times New Roman"/>
          <w:b/>
          <w:sz w:val="24"/>
          <w:szCs w:val="24"/>
          <w:lang w:eastAsia="sl-SI"/>
        </w:rPr>
      </w:pPr>
      <w:bookmarkStart w:id="0" w:name="_GoBack"/>
      <w:r w:rsidRPr="00284764">
        <w:rPr>
          <w:rFonts w:ascii="Times New Roman" w:hAnsi="Times New Roman" w:cs="Times New Roman"/>
          <w:b/>
          <w:sz w:val="24"/>
          <w:szCs w:val="24"/>
          <w:lang w:eastAsia="sl-SI"/>
        </w:rPr>
        <w:t>SPREMEMB</w:t>
      </w:r>
      <w:r w:rsidR="007309E5">
        <w:rPr>
          <w:rFonts w:ascii="Times New Roman" w:hAnsi="Times New Roman" w:cs="Times New Roman"/>
          <w:b/>
          <w:sz w:val="24"/>
          <w:szCs w:val="24"/>
          <w:lang w:eastAsia="sl-SI"/>
        </w:rPr>
        <w:t>O</w:t>
      </w:r>
      <w:r w:rsidRPr="00284764">
        <w:rPr>
          <w:rFonts w:ascii="Times New Roman" w:hAnsi="Times New Roman" w:cs="Times New Roman"/>
          <w:b/>
          <w:sz w:val="24"/>
          <w:szCs w:val="24"/>
          <w:lang w:eastAsia="sl-SI"/>
        </w:rPr>
        <w:t xml:space="preserve"> </w:t>
      </w:r>
      <w:r w:rsidR="005C0020" w:rsidRPr="00284764">
        <w:rPr>
          <w:rFonts w:ascii="Times New Roman" w:hAnsi="Times New Roman" w:cs="Times New Roman"/>
          <w:b/>
          <w:sz w:val="24"/>
          <w:szCs w:val="24"/>
          <w:lang w:eastAsia="sl-SI"/>
        </w:rPr>
        <w:t>TARIF</w:t>
      </w:r>
      <w:r w:rsidRPr="00284764">
        <w:rPr>
          <w:rFonts w:ascii="Times New Roman" w:hAnsi="Times New Roman" w:cs="Times New Roman"/>
          <w:b/>
          <w:sz w:val="24"/>
          <w:szCs w:val="24"/>
          <w:lang w:eastAsia="sl-SI"/>
        </w:rPr>
        <w:t xml:space="preserve">E </w:t>
      </w:r>
      <w:r w:rsidR="005C0020" w:rsidRPr="00284764">
        <w:rPr>
          <w:rFonts w:ascii="Times New Roman" w:hAnsi="Times New Roman" w:cs="Times New Roman"/>
          <w:b/>
          <w:sz w:val="24"/>
          <w:szCs w:val="24"/>
          <w:lang w:eastAsia="sl-SI"/>
        </w:rPr>
        <w:t>NADOMESTIL STROŠKOV ZA POSREDOVANJE PODATKOV O TRANSAKCIJSKIH RAČUNIH FIZIČNIH OSEB IZ REGISTRA TRANSAKCIJSKIH RAČUNOV</w:t>
      </w:r>
      <w:bookmarkEnd w:id="0"/>
    </w:p>
    <w:p w:rsidR="005C0020" w:rsidRPr="00284764" w:rsidRDefault="005C0020" w:rsidP="005C0020">
      <w:pPr>
        <w:spacing w:line="320" w:lineRule="atLeast"/>
        <w:rPr>
          <w:rFonts w:ascii="Times New Roman" w:hAnsi="Times New Roman" w:cs="Times New Roman"/>
          <w:bCs/>
          <w:sz w:val="24"/>
          <w:szCs w:val="24"/>
          <w:lang w:eastAsia="sl-SI"/>
        </w:rPr>
      </w:pPr>
    </w:p>
    <w:p w:rsidR="005C0020" w:rsidRPr="00284764" w:rsidRDefault="005C0020" w:rsidP="005B7170">
      <w:pPr>
        <w:pStyle w:val="Odstavekseznama"/>
        <w:keepNext/>
        <w:numPr>
          <w:ilvl w:val="0"/>
          <w:numId w:val="6"/>
        </w:numPr>
        <w:tabs>
          <w:tab w:val="left" w:pos="360"/>
          <w:tab w:val="left" w:pos="567"/>
        </w:tabs>
        <w:spacing w:after="0" w:line="320" w:lineRule="atLeast"/>
        <w:jc w:val="center"/>
        <w:outlineLvl w:val="8"/>
        <w:rPr>
          <w:rFonts w:ascii="Times New Roman" w:hAnsi="Times New Roman" w:cs="Times New Roman"/>
          <w:sz w:val="24"/>
          <w:szCs w:val="24"/>
          <w:lang w:eastAsia="sl-SI"/>
        </w:rPr>
      </w:pPr>
      <w:r w:rsidRPr="00284764">
        <w:rPr>
          <w:rFonts w:ascii="Times New Roman" w:hAnsi="Times New Roman" w:cs="Times New Roman"/>
          <w:sz w:val="24"/>
          <w:szCs w:val="24"/>
          <w:lang w:eastAsia="sl-SI"/>
        </w:rPr>
        <w:t>člen</w:t>
      </w:r>
    </w:p>
    <w:p w:rsidR="005C0020" w:rsidRPr="00284764" w:rsidRDefault="005C0020" w:rsidP="00185420">
      <w:pPr>
        <w:tabs>
          <w:tab w:val="left" w:pos="360"/>
          <w:tab w:val="left" w:pos="567"/>
        </w:tabs>
        <w:spacing w:line="320" w:lineRule="atLeast"/>
        <w:jc w:val="both"/>
        <w:rPr>
          <w:rFonts w:ascii="Times New Roman" w:hAnsi="Times New Roman" w:cs="Times New Roman"/>
          <w:sz w:val="24"/>
          <w:szCs w:val="24"/>
          <w:lang w:eastAsia="sl-SI"/>
        </w:rPr>
      </w:pPr>
    </w:p>
    <w:p w:rsidR="00041BF7" w:rsidRPr="00284764" w:rsidRDefault="00185420" w:rsidP="005B7170">
      <w:pPr>
        <w:spacing w:line="320" w:lineRule="atLeast"/>
        <w:jc w:val="both"/>
        <w:outlineLvl w:val="0"/>
        <w:rPr>
          <w:rFonts w:ascii="Times New Roman" w:hAnsi="Times New Roman" w:cs="Times New Roman"/>
          <w:sz w:val="24"/>
          <w:szCs w:val="24"/>
        </w:rPr>
      </w:pPr>
      <w:r w:rsidRPr="00284764">
        <w:rPr>
          <w:rFonts w:ascii="Times New Roman" w:hAnsi="Times New Roman" w:cs="Times New Roman"/>
          <w:color w:val="000000" w:themeColor="text1"/>
          <w:sz w:val="24"/>
          <w:szCs w:val="24"/>
        </w:rPr>
        <w:t xml:space="preserve">V Tarifi nadomestil za </w:t>
      </w:r>
      <w:r w:rsidRPr="00284764">
        <w:rPr>
          <w:rFonts w:ascii="Times New Roman" w:hAnsi="Times New Roman" w:cs="Times New Roman"/>
          <w:sz w:val="24"/>
          <w:szCs w:val="24"/>
          <w:lang w:eastAsia="sl-SI"/>
        </w:rPr>
        <w:t>posredovanje podatkov o transakcijskih računih fizičnih oseb iz registra transakcijskih računov</w:t>
      </w:r>
      <w:r w:rsidRPr="00284764">
        <w:rPr>
          <w:rFonts w:ascii="Times New Roman" w:hAnsi="Times New Roman" w:cs="Times New Roman"/>
          <w:color w:val="000000" w:themeColor="text1"/>
          <w:sz w:val="24"/>
          <w:szCs w:val="24"/>
        </w:rPr>
        <w:t xml:space="preserve"> se v 1. členu za besedno zvezo » (Uradni list RS, št. </w:t>
      </w:r>
      <w:r w:rsidR="005C0020" w:rsidRPr="00284764">
        <w:rPr>
          <w:rFonts w:ascii="Times New Roman" w:hAnsi="Times New Roman" w:cs="Times New Roman"/>
          <w:bCs/>
          <w:sz w:val="24"/>
          <w:szCs w:val="24"/>
        </w:rPr>
        <w:t>58/09</w:t>
      </w:r>
      <w:r w:rsidR="007309E5">
        <w:rPr>
          <w:rFonts w:ascii="Times New Roman" w:hAnsi="Times New Roman" w:cs="Times New Roman"/>
          <w:bCs/>
          <w:sz w:val="24"/>
          <w:szCs w:val="24"/>
        </w:rPr>
        <w:t>, 34/10</w:t>
      </w:r>
      <w:r w:rsidRPr="00284764">
        <w:rPr>
          <w:rFonts w:ascii="Times New Roman" w:hAnsi="Times New Roman" w:cs="Times New Roman"/>
          <w:bCs/>
          <w:sz w:val="24"/>
          <w:szCs w:val="24"/>
        </w:rPr>
        <w:t>« doda besedilo »</w:t>
      </w:r>
      <w:r w:rsidR="005C0020" w:rsidRPr="00284764">
        <w:rPr>
          <w:rFonts w:ascii="Times New Roman" w:hAnsi="Times New Roman" w:cs="Times New Roman"/>
          <w:bCs/>
          <w:sz w:val="24"/>
          <w:szCs w:val="24"/>
        </w:rPr>
        <w:t xml:space="preserve">, </w:t>
      </w:r>
      <w:r w:rsidR="007309E5">
        <w:rPr>
          <w:rFonts w:ascii="Times New Roman" w:hAnsi="Times New Roman" w:cs="Times New Roman"/>
          <w:bCs/>
          <w:sz w:val="24"/>
          <w:szCs w:val="24"/>
        </w:rPr>
        <w:t>9</w:t>
      </w:r>
      <w:r w:rsidR="005C0020" w:rsidRPr="00284764">
        <w:rPr>
          <w:rFonts w:ascii="Times New Roman" w:hAnsi="Times New Roman" w:cs="Times New Roman"/>
          <w:bCs/>
          <w:sz w:val="24"/>
          <w:szCs w:val="24"/>
        </w:rPr>
        <w:t>/1</w:t>
      </w:r>
      <w:r w:rsidR="007309E5">
        <w:rPr>
          <w:rFonts w:ascii="Times New Roman" w:hAnsi="Times New Roman" w:cs="Times New Roman"/>
          <w:bCs/>
          <w:sz w:val="24"/>
          <w:szCs w:val="24"/>
        </w:rPr>
        <w:t>1</w:t>
      </w:r>
      <w:r w:rsidR="005C0020" w:rsidRPr="00284764">
        <w:rPr>
          <w:rFonts w:ascii="Times New Roman" w:hAnsi="Times New Roman" w:cs="Times New Roman"/>
          <w:bCs/>
          <w:sz w:val="24"/>
          <w:szCs w:val="24"/>
        </w:rPr>
        <w:t xml:space="preserve"> in 32/12</w:t>
      </w:r>
      <w:r w:rsidRPr="00284764">
        <w:rPr>
          <w:rFonts w:ascii="Times New Roman" w:hAnsi="Times New Roman" w:cs="Times New Roman"/>
          <w:bCs/>
          <w:sz w:val="24"/>
          <w:szCs w:val="24"/>
        </w:rPr>
        <w:t>;</w:t>
      </w:r>
      <w:r w:rsidRPr="00284764">
        <w:rPr>
          <w:rFonts w:ascii="Times New Roman" w:hAnsi="Times New Roman" w:cs="Times New Roman"/>
          <w:sz w:val="24"/>
          <w:szCs w:val="24"/>
        </w:rPr>
        <w:t>«.</w:t>
      </w:r>
    </w:p>
    <w:p w:rsidR="005B7170" w:rsidRPr="00284764" w:rsidRDefault="005B7170" w:rsidP="005B7170">
      <w:pPr>
        <w:spacing w:line="320" w:lineRule="atLeast"/>
        <w:jc w:val="both"/>
        <w:outlineLvl w:val="0"/>
        <w:rPr>
          <w:rFonts w:ascii="Times New Roman" w:hAnsi="Times New Roman" w:cs="Times New Roman"/>
          <w:sz w:val="24"/>
          <w:szCs w:val="24"/>
        </w:rPr>
      </w:pPr>
    </w:p>
    <w:p w:rsidR="00041BF7" w:rsidRPr="00284764" w:rsidRDefault="005B7170" w:rsidP="005B7170">
      <w:pPr>
        <w:spacing w:line="240" w:lineRule="auto"/>
        <w:ind w:left="360"/>
        <w:jc w:val="center"/>
        <w:rPr>
          <w:rFonts w:ascii="Times New Roman" w:hAnsi="Times New Roman" w:cs="Times New Roman"/>
          <w:color w:val="000000" w:themeColor="text1"/>
          <w:sz w:val="24"/>
          <w:szCs w:val="24"/>
        </w:rPr>
      </w:pPr>
      <w:r w:rsidRPr="00284764">
        <w:rPr>
          <w:rFonts w:ascii="Times New Roman" w:hAnsi="Times New Roman" w:cs="Times New Roman"/>
          <w:color w:val="000000" w:themeColor="text1"/>
          <w:sz w:val="24"/>
          <w:szCs w:val="24"/>
        </w:rPr>
        <w:t xml:space="preserve">2. </w:t>
      </w:r>
      <w:r w:rsidR="00D77753" w:rsidRPr="00284764">
        <w:rPr>
          <w:rFonts w:ascii="Times New Roman" w:hAnsi="Times New Roman" w:cs="Times New Roman"/>
          <w:color w:val="000000" w:themeColor="text1"/>
          <w:sz w:val="24"/>
          <w:szCs w:val="24"/>
        </w:rPr>
        <w:t>člen</w:t>
      </w:r>
    </w:p>
    <w:p w:rsidR="005B7170" w:rsidRPr="00284764" w:rsidRDefault="00041BF7" w:rsidP="00E656C5">
      <w:pPr>
        <w:spacing w:line="240" w:lineRule="auto"/>
        <w:jc w:val="both"/>
        <w:rPr>
          <w:rFonts w:ascii="Times New Roman" w:hAnsi="Times New Roman" w:cs="Times New Roman"/>
          <w:color w:val="000000" w:themeColor="text1"/>
          <w:sz w:val="24"/>
          <w:szCs w:val="24"/>
        </w:rPr>
      </w:pPr>
      <w:r w:rsidRPr="00284764">
        <w:rPr>
          <w:rFonts w:ascii="Times New Roman" w:hAnsi="Times New Roman" w:cs="Times New Roman"/>
          <w:color w:val="000000" w:themeColor="text1"/>
          <w:sz w:val="24"/>
          <w:szCs w:val="24"/>
        </w:rPr>
        <w:t xml:space="preserve">V </w:t>
      </w:r>
      <w:r w:rsidR="00E656C5" w:rsidRPr="00284764">
        <w:rPr>
          <w:rFonts w:ascii="Times New Roman" w:hAnsi="Times New Roman" w:cs="Times New Roman"/>
          <w:color w:val="000000" w:themeColor="text1"/>
          <w:sz w:val="24"/>
          <w:szCs w:val="24"/>
        </w:rPr>
        <w:t>4</w:t>
      </w:r>
      <w:r w:rsidR="00A010E4" w:rsidRPr="00284764">
        <w:rPr>
          <w:rFonts w:ascii="Times New Roman" w:hAnsi="Times New Roman" w:cs="Times New Roman"/>
          <w:color w:val="000000" w:themeColor="text1"/>
          <w:sz w:val="24"/>
          <w:szCs w:val="24"/>
        </w:rPr>
        <w:t xml:space="preserve">. členu </w:t>
      </w:r>
      <w:r w:rsidR="00E656C5" w:rsidRPr="00284764">
        <w:rPr>
          <w:rFonts w:ascii="Times New Roman" w:hAnsi="Times New Roman" w:cs="Times New Roman"/>
          <w:color w:val="000000" w:themeColor="text1"/>
          <w:sz w:val="24"/>
          <w:szCs w:val="24"/>
        </w:rPr>
        <w:t xml:space="preserve">se v tretjem stolpcu višina nadomestila </w:t>
      </w:r>
      <w:r w:rsidR="005B7170" w:rsidRPr="00284764">
        <w:rPr>
          <w:rFonts w:ascii="Times New Roman" w:hAnsi="Times New Roman" w:cs="Times New Roman"/>
          <w:color w:val="000000" w:themeColor="text1"/>
          <w:sz w:val="24"/>
          <w:szCs w:val="24"/>
        </w:rPr>
        <w:t xml:space="preserve">pod a) spremeni </w:t>
      </w:r>
      <w:r w:rsidR="00E656C5" w:rsidRPr="00284764">
        <w:rPr>
          <w:rFonts w:ascii="Times New Roman" w:hAnsi="Times New Roman" w:cs="Times New Roman"/>
          <w:color w:val="000000" w:themeColor="text1"/>
          <w:sz w:val="24"/>
          <w:szCs w:val="24"/>
        </w:rPr>
        <w:t xml:space="preserve">iz »0,75« z  </w:t>
      </w:r>
      <w:r w:rsidR="005B7170" w:rsidRPr="00284764">
        <w:rPr>
          <w:rFonts w:ascii="Times New Roman" w:hAnsi="Times New Roman" w:cs="Times New Roman"/>
          <w:color w:val="000000" w:themeColor="text1"/>
          <w:sz w:val="24"/>
          <w:szCs w:val="24"/>
        </w:rPr>
        <w:t>»</w:t>
      </w:r>
      <w:r w:rsidR="00E656C5" w:rsidRPr="00284764">
        <w:rPr>
          <w:rFonts w:ascii="Times New Roman" w:hAnsi="Times New Roman" w:cs="Times New Roman"/>
          <w:color w:val="000000" w:themeColor="text1"/>
          <w:sz w:val="24"/>
          <w:szCs w:val="24"/>
        </w:rPr>
        <w:t>1,82</w:t>
      </w:r>
      <w:r w:rsidR="005B7170" w:rsidRPr="00284764">
        <w:rPr>
          <w:rFonts w:ascii="Times New Roman" w:hAnsi="Times New Roman" w:cs="Times New Roman"/>
          <w:color w:val="000000" w:themeColor="text1"/>
          <w:sz w:val="24"/>
          <w:szCs w:val="24"/>
        </w:rPr>
        <w:t>«  in pod b) iz »3,51« z  »9,31«.</w:t>
      </w:r>
    </w:p>
    <w:p w:rsidR="005B7170" w:rsidRPr="00284764" w:rsidRDefault="005B7170" w:rsidP="00E656C5">
      <w:pPr>
        <w:spacing w:line="240" w:lineRule="auto"/>
        <w:jc w:val="both"/>
        <w:rPr>
          <w:rFonts w:ascii="Times New Roman" w:hAnsi="Times New Roman" w:cs="Times New Roman"/>
          <w:color w:val="000000" w:themeColor="text1"/>
          <w:sz w:val="24"/>
          <w:szCs w:val="24"/>
        </w:rPr>
      </w:pPr>
    </w:p>
    <w:p w:rsidR="00E656C5" w:rsidRPr="00284764" w:rsidRDefault="005B7170" w:rsidP="005B7170">
      <w:pPr>
        <w:pStyle w:val="Odstavekseznama"/>
        <w:spacing w:line="240" w:lineRule="auto"/>
        <w:jc w:val="center"/>
        <w:rPr>
          <w:rFonts w:ascii="Times New Roman" w:hAnsi="Times New Roman" w:cs="Times New Roman"/>
          <w:color w:val="000000" w:themeColor="text1"/>
          <w:sz w:val="24"/>
          <w:szCs w:val="24"/>
        </w:rPr>
      </w:pPr>
      <w:r w:rsidRPr="00284764">
        <w:rPr>
          <w:rFonts w:ascii="Times New Roman" w:hAnsi="Times New Roman" w:cs="Times New Roman"/>
          <w:color w:val="000000" w:themeColor="text1"/>
          <w:sz w:val="24"/>
          <w:szCs w:val="24"/>
        </w:rPr>
        <w:t xml:space="preserve">3. </w:t>
      </w:r>
      <w:r w:rsidR="00E656C5" w:rsidRPr="00284764">
        <w:rPr>
          <w:rFonts w:ascii="Times New Roman" w:hAnsi="Times New Roman" w:cs="Times New Roman"/>
          <w:color w:val="000000" w:themeColor="text1"/>
          <w:sz w:val="24"/>
          <w:szCs w:val="24"/>
        </w:rPr>
        <w:t>člen</w:t>
      </w:r>
    </w:p>
    <w:p w:rsidR="00E656C5" w:rsidRPr="00284764" w:rsidRDefault="00E656C5" w:rsidP="00E656C5">
      <w:pPr>
        <w:spacing w:line="240" w:lineRule="auto"/>
        <w:jc w:val="both"/>
        <w:rPr>
          <w:rFonts w:ascii="Times New Roman" w:hAnsi="Times New Roman" w:cs="Times New Roman"/>
          <w:color w:val="000000" w:themeColor="text1"/>
          <w:sz w:val="24"/>
          <w:szCs w:val="24"/>
        </w:rPr>
      </w:pPr>
      <w:r w:rsidRPr="00284764">
        <w:rPr>
          <w:rFonts w:ascii="Times New Roman" w:hAnsi="Times New Roman" w:cs="Times New Roman"/>
          <w:color w:val="000000" w:themeColor="text1"/>
          <w:sz w:val="24"/>
          <w:szCs w:val="24"/>
        </w:rPr>
        <w:t xml:space="preserve">Ta </w:t>
      </w:r>
      <w:r w:rsidR="005B7170" w:rsidRPr="00284764">
        <w:rPr>
          <w:rFonts w:ascii="Times New Roman" w:hAnsi="Times New Roman" w:cs="Times New Roman"/>
          <w:color w:val="000000" w:themeColor="text1"/>
          <w:sz w:val="24"/>
          <w:szCs w:val="24"/>
        </w:rPr>
        <w:t>sprememba</w:t>
      </w:r>
      <w:r w:rsidRPr="00284764">
        <w:rPr>
          <w:rFonts w:ascii="Times New Roman" w:hAnsi="Times New Roman" w:cs="Times New Roman"/>
          <w:color w:val="000000" w:themeColor="text1"/>
          <w:sz w:val="24"/>
          <w:szCs w:val="24"/>
        </w:rPr>
        <w:t xml:space="preserve"> </w:t>
      </w:r>
      <w:r w:rsidR="005B7170" w:rsidRPr="00284764">
        <w:rPr>
          <w:rFonts w:ascii="Times New Roman" w:hAnsi="Times New Roman" w:cs="Times New Roman"/>
          <w:color w:val="000000" w:themeColor="text1"/>
          <w:sz w:val="24"/>
          <w:szCs w:val="24"/>
        </w:rPr>
        <w:t xml:space="preserve">Tarife nadomestil za </w:t>
      </w:r>
      <w:r w:rsidR="005B7170" w:rsidRPr="00284764">
        <w:rPr>
          <w:rFonts w:ascii="Times New Roman" w:hAnsi="Times New Roman" w:cs="Times New Roman"/>
          <w:sz w:val="24"/>
          <w:szCs w:val="24"/>
          <w:lang w:eastAsia="sl-SI"/>
        </w:rPr>
        <w:t>posredovanje podatkov o transakcijskih računih fizičnih oseb iz registra transakcijskih računov</w:t>
      </w:r>
      <w:r w:rsidR="005B7170" w:rsidRPr="00284764">
        <w:rPr>
          <w:rFonts w:ascii="Times New Roman" w:hAnsi="Times New Roman" w:cs="Times New Roman"/>
          <w:color w:val="000000" w:themeColor="text1"/>
          <w:sz w:val="24"/>
          <w:szCs w:val="24"/>
        </w:rPr>
        <w:t xml:space="preserve"> </w:t>
      </w:r>
      <w:r w:rsidRPr="00284764">
        <w:rPr>
          <w:rFonts w:ascii="Times New Roman" w:hAnsi="Times New Roman" w:cs="Times New Roman"/>
          <w:color w:val="000000" w:themeColor="text1"/>
          <w:sz w:val="24"/>
          <w:szCs w:val="24"/>
        </w:rPr>
        <w:t>začne veljati naslednji dan po objavi v Uradnem listu Republike Slovenije.</w:t>
      </w:r>
    </w:p>
    <w:p w:rsidR="00E656C5" w:rsidRPr="00284764" w:rsidRDefault="00E656C5" w:rsidP="00E656C5">
      <w:pPr>
        <w:spacing w:after="0" w:line="240" w:lineRule="auto"/>
        <w:jc w:val="both"/>
        <w:rPr>
          <w:rFonts w:ascii="Times New Roman" w:hAnsi="Times New Roman" w:cs="Times New Roman"/>
          <w:color w:val="000000" w:themeColor="text1"/>
          <w:sz w:val="24"/>
          <w:szCs w:val="24"/>
        </w:rPr>
      </w:pPr>
    </w:p>
    <w:p w:rsidR="00E656C5" w:rsidRPr="00284764" w:rsidRDefault="00E656C5" w:rsidP="00E656C5">
      <w:pPr>
        <w:spacing w:after="0" w:line="240" w:lineRule="auto"/>
        <w:jc w:val="both"/>
        <w:rPr>
          <w:rFonts w:ascii="Times New Roman" w:hAnsi="Times New Roman" w:cs="Times New Roman"/>
          <w:color w:val="000000" w:themeColor="text1"/>
          <w:sz w:val="24"/>
          <w:szCs w:val="24"/>
        </w:rPr>
      </w:pPr>
      <w:r w:rsidRPr="00284764">
        <w:rPr>
          <w:rFonts w:ascii="Times New Roman" w:hAnsi="Times New Roman" w:cs="Times New Roman"/>
          <w:color w:val="000000" w:themeColor="text1"/>
          <w:sz w:val="24"/>
          <w:szCs w:val="24"/>
        </w:rPr>
        <w:t xml:space="preserve">Številka: </w:t>
      </w:r>
      <w:r w:rsidR="005B7170" w:rsidRPr="00284764">
        <w:rPr>
          <w:rFonts w:ascii="Times New Roman" w:hAnsi="Times New Roman" w:cs="Times New Roman"/>
          <w:color w:val="000000" w:themeColor="text1"/>
          <w:sz w:val="24"/>
          <w:szCs w:val="24"/>
        </w:rPr>
        <w:t xml:space="preserve"> </w:t>
      </w:r>
    </w:p>
    <w:p w:rsidR="00E656C5" w:rsidRPr="00284764" w:rsidRDefault="00E656C5" w:rsidP="00E656C5">
      <w:pPr>
        <w:spacing w:after="0"/>
        <w:jc w:val="both"/>
        <w:rPr>
          <w:rFonts w:ascii="Times New Roman" w:hAnsi="Times New Roman" w:cs="Times New Roman"/>
          <w:sz w:val="24"/>
          <w:szCs w:val="24"/>
        </w:rPr>
      </w:pPr>
      <w:r w:rsidRPr="00284764">
        <w:rPr>
          <w:rFonts w:ascii="Times New Roman" w:hAnsi="Times New Roman" w:cs="Times New Roman"/>
          <w:sz w:val="24"/>
          <w:szCs w:val="24"/>
        </w:rPr>
        <w:t xml:space="preserve">Ljubljana, dne </w:t>
      </w:r>
      <w:r w:rsidR="005B7170" w:rsidRPr="00284764">
        <w:rPr>
          <w:rFonts w:ascii="Times New Roman" w:hAnsi="Times New Roman" w:cs="Times New Roman"/>
          <w:sz w:val="24"/>
          <w:szCs w:val="24"/>
        </w:rPr>
        <w:t xml:space="preserve"> </w:t>
      </w:r>
    </w:p>
    <w:p w:rsidR="00E656C5" w:rsidRPr="00284764" w:rsidRDefault="00E656C5" w:rsidP="00E656C5">
      <w:pPr>
        <w:spacing w:after="0"/>
        <w:jc w:val="both"/>
        <w:rPr>
          <w:rFonts w:ascii="Times New Roman" w:hAnsi="Times New Roman" w:cs="Times New Roman"/>
          <w:sz w:val="24"/>
          <w:szCs w:val="24"/>
        </w:rPr>
      </w:pPr>
      <w:r w:rsidRPr="00284764">
        <w:rPr>
          <w:rFonts w:ascii="Times New Roman" w:hAnsi="Times New Roman" w:cs="Times New Roman"/>
          <w:sz w:val="24"/>
          <w:szCs w:val="24"/>
        </w:rPr>
        <w:t>EVA:</w:t>
      </w:r>
      <w:r w:rsidRPr="00284764">
        <w:rPr>
          <w:rFonts w:ascii="Times New Roman" w:hAnsi="Times New Roman" w:cs="Times New Roman"/>
          <w:sz w:val="24"/>
          <w:szCs w:val="24"/>
        </w:rPr>
        <w:tab/>
      </w:r>
      <w:r w:rsidR="00DE2EBD" w:rsidRPr="00DE2EBD">
        <w:rPr>
          <w:rFonts w:ascii="Times New Roman" w:hAnsi="Times New Roman" w:cs="Times New Roman"/>
          <w:sz w:val="24"/>
          <w:szCs w:val="24"/>
        </w:rPr>
        <w:t>2014-1611-0121</w:t>
      </w:r>
    </w:p>
    <w:p w:rsidR="00E656C5" w:rsidRPr="00284764" w:rsidRDefault="00E656C5" w:rsidP="00E656C5">
      <w:pPr>
        <w:spacing w:after="0" w:line="240" w:lineRule="auto"/>
        <w:jc w:val="both"/>
        <w:rPr>
          <w:rFonts w:ascii="Times New Roman" w:hAnsi="Times New Roman" w:cs="Times New Roman"/>
          <w:sz w:val="24"/>
          <w:szCs w:val="24"/>
        </w:rPr>
      </w:pP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t>mag. Vesna Zupančič Klarič,</w:t>
      </w:r>
    </w:p>
    <w:p w:rsidR="00E656C5" w:rsidRPr="00284764" w:rsidRDefault="00E656C5" w:rsidP="00E656C5">
      <w:pPr>
        <w:spacing w:after="0" w:line="240" w:lineRule="auto"/>
        <w:jc w:val="both"/>
        <w:rPr>
          <w:rFonts w:ascii="Times New Roman" w:hAnsi="Times New Roman" w:cs="Times New Roman"/>
          <w:sz w:val="24"/>
          <w:szCs w:val="24"/>
        </w:rPr>
      </w:pP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r>
      <w:r w:rsidRPr="00284764">
        <w:rPr>
          <w:rFonts w:ascii="Times New Roman" w:hAnsi="Times New Roman" w:cs="Times New Roman"/>
          <w:sz w:val="24"/>
          <w:szCs w:val="24"/>
        </w:rPr>
        <w:tab/>
        <w:t xml:space="preserve">  predsednica Sveta AJPES</w:t>
      </w:r>
    </w:p>
    <w:p w:rsidR="00E656C5" w:rsidRPr="00284764" w:rsidRDefault="00E656C5" w:rsidP="00E656C5">
      <w:pPr>
        <w:jc w:val="center"/>
        <w:rPr>
          <w:rFonts w:ascii="Times New Roman" w:hAnsi="Times New Roman" w:cs="Times New Roman"/>
          <w:b/>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656C5" w:rsidRPr="00284764" w:rsidTr="0057270B">
        <w:tc>
          <w:tcPr>
            <w:tcW w:w="4606" w:type="dxa"/>
          </w:tcPr>
          <w:p w:rsidR="00E656C5" w:rsidRPr="00284764" w:rsidRDefault="00E656C5" w:rsidP="0057270B">
            <w:pPr>
              <w:jc w:val="center"/>
              <w:rPr>
                <w:rFonts w:ascii="Times New Roman" w:hAnsi="Times New Roman" w:cs="Times New Roman"/>
                <w:sz w:val="24"/>
                <w:szCs w:val="24"/>
              </w:rPr>
            </w:pPr>
            <w:r w:rsidRPr="00284764">
              <w:rPr>
                <w:rFonts w:ascii="Times New Roman" w:hAnsi="Times New Roman" w:cs="Times New Roman"/>
                <w:sz w:val="24"/>
                <w:szCs w:val="24"/>
              </w:rPr>
              <w:t>Soglašam</w:t>
            </w:r>
            <w:r w:rsidR="00C03B26">
              <w:rPr>
                <w:rFonts w:ascii="Times New Roman" w:hAnsi="Times New Roman" w:cs="Times New Roman"/>
                <w:sz w:val="24"/>
                <w:szCs w:val="24"/>
              </w:rPr>
              <w:t>:</w:t>
            </w:r>
          </w:p>
          <w:p w:rsidR="00E656C5" w:rsidRPr="00284764" w:rsidRDefault="00E656C5" w:rsidP="0057270B">
            <w:pPr>
              <w:jc w:val="center"/>
              <w:rPr>
                <w:rFonts w:ascii="Times New Roman" w:hAnsi="Times New Roman" w:cs="Times New Roman"/>
                <w:sz w:val="24"/>
                <w:szCs w:val="24"/>
              </w:rPr>
            </w:pPr>
          </w:p>
          <w:p w:rsidR="00E656C5" w:rsidRPr="00284764" w:rsidRDefault="00E656C5" w:rsidP="0057270B">
            <w:pPr>
              <w:jc w:val="center"/>
              <w:rPr>
                <w:rFonts w:ascii="Times New Roman" w:hAnsi="Times New Roman" w:cs="Times New Roman"/>
                <w:sz w:val="24"/>
                <w:szCs w:val="24"/>
              </w:rPr>
            </w:pPr>
            <w:r w:rsidRPr="00284764">
              <w:rPr>
                <w:rFonts w:ascii="Times New Roman" w:hAnsi="Times New Roman" w:cs="Times New Roman"/>
                <w:sz w:val="24"/>
                <w:szCs w:val="24"/>
              </w:rPr>
              <w:t>dr. Dušan Mramor,</w:t>
            </w:r>
          </w:p>
          <w:p w:rsidR="00E656C5" w:rsidRPr="00284764" w:rsidRDefault="00E656C5" w:rsidP="0057270B">
            <w:pPr>
              <w:jc w:val="center"/>
              <w:rPr>
                <w:rFonts w:ascii="Times New Roman" w:hAnsi="Times New Roman" w:cs="Times New Roman"/>
                <w:b/>
                <w:sz w:val="24"/>
                <w:szCs w:val="24"/>
              </w:rPr>
            </w:pPr>
            <w:r w:rsidRPr="00284764">
              <w:rPr>
                <w:rFonts w:ascii="Times New Roman" w:hAnsi="Times New Roman" w:cs="Times New Roman"/>
                <w:sz w:val="24"/>
                <w:szCs w:val="24"/>
              </w:rPr>
              <w:t>minister za finance</w:t>
            </w:r>
          </w:p>
        </w:tc>
        <w:tc>
          <w:tcPr>
            <w:tcW w:w="4606" w:type="dxa"/>
          </w:tcPr>
          <w:p w:rsidR="00E656C5" w:rsidRPr="00284764" w:rsidRDefault="00E656C5" w:rsidP="0057270B">
            <w:pPr>
              <w:jc w:val="both"/>
              <w:rPr>
                <w:rFonts w:ascii="Times New Roman" w:hAnsi="Times New Roman" w:cs="Times New Roman"/>
                <w:b/>
                <w:sz w:val="24"/>
                <w:szCs w:val="24"/>
              </w:rPr>
            </w:pPr>
          </w:p>
        </w:tc>
      </w:tr>
    </w:tbl>
    <w:p w:rsidR="000D212D" w:rsidRPr="00284764" w:rsidRDefault="000D212D" w:rsidP="006D7B94">
      <w:pPr>
        <w:spacing w:after="0" w:line="240" w:lineRule="auto"/>
        <w:jc w:val="both"/>
        <w:rPr>
          <w:rFonts w:ascii="Times New Roman" w:hAnsi="Times New Roman" w:cs="Times New Roman"/>
          <w:b/>
          <w:sz w:val="24"/>
          <w:szCs w:val="24"/>
        </w:rPr>
      </w:pPr>
    </w:p>
    <w:sectPr w:rsidR="000D212D" w:rsidRPr="002847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C1" w:rsidRDefault="000E09C1" w:rsidP="00B64C0C">
      <w:pPr>
        <w:spacing w:after="0" w:line="240" w:lineRule="auto"/>
      </w:pPr>
      <w:r>
        <w:separator/>
      </w:r>
    </w:p>
  </w:endnote>
  <w:endnote w:type="continuationSeparator" w:id="0">
    <w:p w:rsidR="000E09C1" w:rsidRDefault="000E09C1" w:rsidP="00B6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00" w:rsidRDefault="00772F0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00" w:rsidRDefault="00772F0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00" w:rsidRDefault="00772F0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C1" w:rsidRDefault="000E09C1" w:rsidP="00B64C0C">
      <w:pPr>
        <w:spacing w:after="0" w:line="240" w:lineRule="auto"/>
      </w:pPr>
      <w:r>
        <w:separator/>
      </w:r>
    </w:p>
  </w:footnote>
  <w:footnote w:type="continuationSeparator" w:id="0">
    <w:p w:rsidR="000E09C1" w:rsidRDefault="000E09C1" w:rsidP="00B6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00" w:rsidRDefault="00772F0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00" w:rsidRDefault="00772F0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00" w:rsidRDefault="00772F0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905"/>
    <w:multiLevelType w:val="hybridMultilevel"/>
    <w:tmpl w:val="4470F97A"/>
    <w:lvl w:ilvl="0" w:tplc="36D27E50">
      <w:start w:val="1"/>
      <w:numFmt w:val="decimal"/>
      <w:pStyle w:val="Naslov9"/>
      <w:lvlText w:val="%1."/>
      <w:lvlJc w:val="left"/>
      <w:pPr>
        <w:tabs>
          <w:tab w:val="num" w:pos="4680"/>
        </w:tabs>
        <w:ind w:left="4680" w:hanging="360"/>
      </w:pPr>
      <w:rPr>
        <w:rFonts w:hint="default"/>
      </w:rPr>
    </w:lvl>
    <w:lvl w:ilvl="1" w:tplc="F1E6B470">
      <w:start w:val="1"/>
      <w:numFmt w:val="decimal"/>
      <w:lvlText w:val="%2)"/>
      <w:lvlJc w:val="left"/>
      <w:pPr>
        <w:tabs>
          <w:tab w:val="num" w:pos="1440"/>
        </w:tabs>
        <w:ind w:left="1440" w:hanging="360"/>
      </w:pPr>
      <w:rPr>
        <w:rFonts w:hint="default"/>
      </w:rPr>
    </w:lvl>
    <w:lvl w:ilvl="2" w:tplc="D118042E">
      <w:start w:val="1"/>
      <w:numFmt w:val="bullet"/>
      <w:lvlText w:val="-"/>
      <w:lvlJc w:val="left"/>
      <w:pPr>
        <w:tabs>
          <w:tab w:val="num" w:pos="2340"/>
        </w:tabs>
        <w:ind w:left="2340" w:hanging="360"/>
      </w:pPr>
      <w:rPr>
        <w:rFonts w:ascii="Arial" w:eastAsia="Times New Roman" w:hAnsi="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9FA3BB4"/>
    <w:multiLevelType w:val="hybridMultilevel"/>
    <w:tmpl w:val="AA6A1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44C7293"/>
    <w:multiLevelType w:val="hybridMultilevel"/>
    <w:tmpl w:val="86B06D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29333E9"/>
    <w:multiLevelType w:val="hybridMultilevel"/>
    <w:tmpl w:val="48843F0E"/>
    <w:lvl w:ilvl="0" w:tplc="83F6DAF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9AA4985"/>
    <w:multiLevelType w:val="hybridMultilevel"/>
    <w:tmpl w:val="38185F3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nsid w:val="59C47DA0"/>
    <w:multiLevelType w:val="hybridMultilevel"/>
    <w:tmpl w:val="AA6A1B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77"/>
    <w:rsid w:val="00020857"/>
    <w:rsid w:val="00041BF7"/>
    <w:rsid w:val="00061627"/>
    <w:rsid w:val="00075A14"/>
    <w:rsid w:val="000D212D"/>
    <w:rsid w:val="000D4168"/>
    <w:rsid w:val="000E09C1"/>
    <w:rsid w:val="000F02B9"/>
    <w:rsid w:val="001639C5"/>
    <w:rsid w:val="00185420"/>
    <w:rsid w:val="0019601A"/>
    <w:rsid w:val="001B5C65"/>
    <w:rsid w:val="001E017E"/>
    <w:rsid w:val="001E0731"/>
    <w:rsid w:val="00213B81"/>
    <w:rsid w:val="00242DB4"/>
    <w:rsid w:val="00261783"/>
    <w:rsid w:val="002701CA"/>
    <w:rsid w:val="00284764"/>
    <w:rsid w:val="002B0C1E"/>
    <w:rsid w:val="002B159F"/>
    <w:rsid w:val="002F0DE0"/>
    <w:rsid w:val="002F3C60"/>
    <w:rsid w:val="002F6186"/>
    <w:rsid w:val="0030064C"/>
    <w:rsid w:val="003115A7"/>
    <w:rsid w:val="0031161A"/>
    <w:rsid w:val="00334D2B"/>
    <w:rsid w:val="00352777"/>
    <w:rsid w:val="00385FD5"/>
    <w:rsid w:val="00397373"/>
    <w:rsid w:val="003A51BD"/>
    <w:rsid w:val="003C2791"/>
    <w:rsid w:val="003F5C5F"/>
    <w:rsid w:val="00415236"/>
    <w:rsid w:val="00426B71"/>
    <w:rsid w:val="00441898"/>
    <w:rsid w:val="00447C54"/>
    <w:rsid w:val="00455F16"/>
    <w:rsid w:val="00456247"/>
    <w:rsid w:val="004638CC"/>
    <w:rsid w:val="00467365"/>
    <w:rsid w:val="004B23FC"/>
    <w:rsid w:val="004E4F08"/>
    <w:rsid w:val="00546739"/>
    <w:rsid w:val="00562C97"/>
    <w:rsid w:val="00585A57"/>
    <w:rsid w:val="005B7170"/>
    <w:rsid w:val="005C0020"/>
    <w:rsid w:val="005C511E"/>
    <w:rsid w:val="00625157"/>
    <w:rsid w:val="00627F73"/>
    <w:rsid w:val="00643E65"/>
    <w:rsid w:val="00673106"/>
    <w:rsid w:val="006909CA"/>
    <w:rsid w:val="006D7B94"/>
    <w:rsid w:val="006E2A33"/>
    <w:rsid w:val="006F69EF"/>
    <w:rsid w:val="00716CE7"/>
    <w:rsid w:val="007206F3"/>
    <w:rsid w:val="007309E5"/>
    <w:rsid w:val="0077165D"/>
    <w:rsid w:val="00772F00"/>
    <w:rsid w:val="007C7372"/>
    <w:rsid w:val="007D2AE0"/>
    <w:rsid w:val="008147EF"/>
    <w:rsid w:val="00825860"/>
    <w:rsid w:val="00837501"/>
    <w:rsid w:val="008449A8"/>
    <w:rsid w:val="00854B0E"/>
    <w:rsid w:val="008564AC"/>
    <w:rsid w:val="009104DA"/>
    <w:rsid w:val="0098521B"/>
    <w:rsid w:val="00986648"/>
    <w:rsid w:val="00993CAE"/>
    <w:rsid w:val="00994BE1"/>
    <w:rsid w:val="00A010E4"/>
    <w:rsid w:val="00A02084"/>
    <w:rsid w:val="00A239BE"/>
    <w:rsid w:val="00A65AD4"/>
    <w:rsid w:val="00A663AF"/>
    <w:rsid w:val="00AE1907"/>
    <w:rsid w:val="00AE422C"/>
    <w:rsid w:val="00AE6E62"/>
    <w:rsid w:val="00B00F18"/>
    <w:rsid w:val="00B304A1"/>
    <w:rsid w:val="00B45837"/>
    <w:rsid w:val="00B64C0C"/>
    <w:rsid w:val="00B93217"/>
    <w:rsid w:val="00BA462C"/>
    <w:rsid w:val="00BB6B1F"/>
    <w:rsid w:val="00BC603E"/>
    <w:rsid w:val="00BD00CA"/>
    <w:rsid w:val="00BD50AF"/>
    <w:rsid w:val="00BE6727"/>
    <w:rsid w:val="00BF0A98"/>
    <w:rsid w:val="00C03B26"/>
    <w:rsid w:val="00C25041"/>
    <w:rsid w:val="00C26689"/>
    <w:rsid w:val="00C55BC0"/>
    <w:rsid w:val="00C70576"/>
    <w:rsid w:val="00C9732A"/>
    <w:rsid w:val="00CB2142"/>
    <w:rsid w:val="00CC555A"/>
    <w:rsid w:val="00D2242C"/>
    <w:rsid w:val="00D26178"/>
    <w:rsid w:val="00D54B33"/>
    <w:rsid w:val="00D600F0"/>
    <w:rsid w:val="00D77753"/>
    <w:rsid w:val="00D84544"/>
    <w:rsid w:val="00D94B43"/>
    <w:rsid w:val="00DB46B0"/>
    <w:rsid w:val="00DE2EBD"/>
    <w:rsid w:val="00DF06DD"/>
    <w:rsid w:val="00DF21BC"/>
    <w:rsid w:val="00DF581E"/>
    <w:rsid w:val="00E242A5"/>
    <w:rsid w:val="00E532FE"/>
    <w:rsid w:val="00E656C5"/>
    <w:rsid w:val="00E77B3B"/>
    <w:rsid w:val="00E85694"/>
    <w:rsid w:val="00F04F26"/>
    <w:rsid w:val="00F070D5"/>
    <w:rsid w:val="00F2398F"/>
    <w:rsid w:val="00F30987"/>
    <w:rsid w:val="00FA69B1"/>
    <w:rsid w:val="00FC59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9">
    <w:name w:val="heading 9"/>
    <w:basedOn w:val="Navaden"/>
    <w:next w:val="Navaden"/>
    <w:link w:val="Naslov9Znak"/>
    <w:qFormat/>
    <w:rsid w:val="001E0731"/>
    <w:pPr>
      <w:keepNext/>
      <w:numPr>
        <w:numId w:val="2"/>
      </w:numPr>
      <w:tabs>
        <w:tab w:val="left" w:pos="360"/>
      </w:tabs>
      <w:spacing w:after="0" w:line="240" w:lineRule="auto"/>
      <w:jc w:val="center"/>
      <w:outlineLvl w:val="8"/>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oc">
    <w:name w:val="doc"/>
    <w:basedOn w:val="Navaden"/>
    <w:rsid w:val="00352777"/>
    <w:pPr>
      <w:spacing w:after="75" w:line="300" w:lineRule="atLeast"/>
      <w:jc w:val="both"/>
    </w:pPr>
    <w:rPr>
      <w:rFonts w:ascii="Arial" w:eastAsia="Times New Roman" w:hAnsi="Arial" w:cs="Arial"/>
      <w:sz w:val="20"/>
      <w:szCs w:val="20"/>
      <w:lang w:eastAsia="sl-SI"/>
    </w:rPr>
  </w:style>
  <w:style w:type="paragraph" w:styleId="Odstavekseznama">
    <w:name w:val="List Paragraph"/>
    <w:basedOn w:val="Navaden"/>
    <w:uiPriority w:val="34"/>
    <w:qFormat/>
    <w:rsid w:val="00585A57"/>
    <w:pPr>
      <w:ind w:left="720"/>
      <w:contextualSpacing/>
    </w:pPr>
  </w:style>
  <w:style w:type="paragraph" w:styleId="Besedilooblaka">
    <w:name w:val="Balloon Text"/>
    <w:basedOn w:val="Navaden"/>
    <w:link w:val="BesedilooblakaZnak"/>
    <w:uiPriority w:val="99"/>
    <w:semiHidden/>
    <w:unhideWhenUsed/>
    <w:rsid w:val="00BE67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6727"/>
    <w:rPr>
      <w:rFonts w:ascii="Tahoma" w:hAnsi="Tahoma" w:cs="Tahoma"/>
      <w:sz w:val="16"/>
      <w:szCs w:val="16"/>
    </w:rPr>
  </w:style>
  <w:style w:type="character" w:styleId="Pripombasklic">
    <w:name w:val="annotation reference"/>
    <w:basedOn w:val="Privzetapisavaodstavka"/>
    <w:uiPriority w:val="99"/>
    <w:semiHidden/>
    <w:unhideWhenUsed/>
    <w:rsid w:val="001639C5"/>
    <w:rPr>
      <w:sz w:val="16"/>
      <w:szCs w:val="16"/>
    </w:rPr>
  </w:style>
  <w:style w:type="paragraph" w:styleId="Pripombabesedilo">
    <w:name w:val="annotation text"/>
    <w:basedOn w:val="Navaden"/>
    <w:link w:val="PripombabesediloZnak"/>
    <w:uiPriority w:val="99"/>
    <w:semiHidden/>
    <w:unhideWhenUsed/>
    <w:rsid w:val="001639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639C5"/>
    <w:rPr>
      <w:sz w:val="20"/>
      <w:szCs w:val="20"/>
    </w:rPr>
  </w:style>
  <w:style w:type="paragraph" w:styleId="Zadevapripombe">
    <w:name w:val="annotation subject"/>
    <w:basedOn w:val="Pripombabesedilo"/>
    <w:next w:val="Pripombabesedilo"/>
    <w:link w:val="ZadevapripombeZnak"/>
    <w:uiPriority w:val="99"/>
    <w:semiHidden/>
    <w:unhideWhenUsed/>
    <w:rsid w:val="001639C5"/>
    <w:rPr>
      <w:b/>
      <w:bCs/>
    </w:rPr>
  </w:style>
  <w:style w:type="character" w:customStyle="1" w:styleId="ZadevapripombeZnak">
    <w:name w:val="Zadeva pripombe Znak"/>
    <w:basedOn w:val="PripombabesediloZnak"/>
    <w:link w:val="Zadevapripombe"/>
    <w:uiPriority w:val="99"/>
    <w:semiHidden/>
    <w:rsid w:val="001639C5"/>
    <w:rPr>
      <w:b/>
      <w:bCs/>
      <w:sz w:val="20"/>
      <w:szCs w:val="20"/>
    </w:rPr>
  </w:style>
  <w:style w:type="paragraph" w:styleId="Glava">
    <w:name w:val="header"/>
    <w:basedOn w:val="Navaden"/>
    <w:link w:val="GlavaZnak"/>
    <w:uiPriority w:val="99"/>
    <w:unhideWhenUsed/>
    <w:rsid w:val="00B64C0C"/>
    <w:pPr>
      <w:tabs>
        <w:tab w:val="center" w:pos="4536"/>
        <w:tab w:val="right" w:pos="9072"/>
      </w:tabs>
      <w:spacing w:after="0" w:line="240" w:lineRule="auto"/>
    </w:pPr>
  </w:style>
  <w:style w:type="character" w:customStyle="1" w:styleId="GlavaZnak">
    <w:name w:val="Glava Znak"/>
    <w:basedOn w:val="Privzetapisavaodstavka"/>
    <w:link w:val="Glava"/>
    <w:uiPriority w:val="99"/>
    <w:rsid w:val="00B64C0C"/>
  </w:style>
  <w:style w:type="paragraph" w:styleId="Noga">
    <w:name w:val="footer"/>
    <w:basedOn w:val="Navaden"/>
    <w:link w:val="NogaZnak"/>
    <w:uiPriority w:val="99"/>
    <w:unhideWhenUsed/>
    <w:rsid w:val="00B64C0C"/>
    <w:pPr>
      <w:tabs>
        <w:tab w:val="center" w:pos="4536"/>
        <w:tab w:val="right" w:pos="9072"/>
      </w:tabs>
      <w:spacing w:after="0" w:line="240" w:lineRule="auto"/>
    </w:pPr>
  </w:style>
  <w:style w:type="character" w:customStyle="1" w:styleId="NogaZnak">
    <w:name w:val="Noga Znak"/>
    <w:basedOn w:val="Privzetapisavaodstavka"/>
    <w:link w:val="Noga"/>
    <w:uiPriority w:val="99"/>
    <w:rsid w:val="00B64C0C"/>
  </w:style>
  <w:style w:type="table" w:styleId="Tabelamrea">
    <w:name w:val="Table Grid"/>
    <w:basedOn w:val="Navadnatabela"/>
    <w:uiPriority w:val="59"/>
    <w:rsid w:val="000D2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3F5C5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F5C5F"/>
    <w:rPr>
      <w:sz w:val="20"/>
      <w:szCs w:val="20"/>
    </w:rPr>
  </w:style>
  <w:style w:type="character" w:styleId="Sprotnaopomba-sklic">
    <w:name w:val="footnote reference"/>
    <w:basedOn w:val="Privzetapisavaodstavka"/>
    <w:uiPriority w:val="99"/>
    <w:semiHidden/>
    <w:unhideWhenUsed/>
    <w:rsid w:val="003F5C5F"/>
    <w:rPr>
      <w:vertAlign w:val="superscript"/>
    </w:rPr>
  </w:style>
  <w:style w:type="character" w:customStyle="1" w:styleId="Naslov9Znak">
    <w:name w:val="Naslov 9 Znak"/>
    <w:basedOn w:val="Privzetapisavaodstavka"/>
    <w:link w:val="Naslov9"/>
    <w:rsid w:val="001E0731"/>
    <w:rPr>
      <w:rFonts w:ascii="Arial" w:eastAsia="Times New Roman" w:hAnsi="Arial" w:cs="Arial"/>
      <w:sz w:val="24"/>
      <w:szCs w:val="24"/>
      <w:lang w:eastAsia="sl-SI"/>
    </w:rPr>
  </w:style>
  <w:style w:type="paragraph" w:styleId="Telobesedila3">
    <w:name w:val="Body Text 3"/>
    <w:basedOn w:val="Navaden"/>
    <w:link w:val="Telobesedila3Znak"/>
    <w:rsid w:val="001E0731"/>
    <w:pPr>
      <w:spacing w:after="0" w:line="240" w:lineRule="auto"/>
      <w:jc w:val="both"/>
    </w:pPr>
    <w:rPr>
      <w:rFonts w:ascii="Times New Roman" w:eastAsia="Times New Roman" w:hAnsi="Times New Roman" w:cs="Times New Roman"/>
      <w:color w:val="FF0000"/>
      <w:sz w:val="24"/>
      <w:szCs w:val="24"/>
      <w:lang w:eastAsia="sl-SI"/>
    </w:rPr>
  </w:style>
  <w:style w:type="character" w:customStyle="1" w:styleId="Telobesedila3Znak">
    <w:name w:val="Telo besedila 3 Znak"/>
    <w:basedOn w:val="Privzetapisavaodstavka"/>
    <w:link w:val="Telobesedila3"/>
    <w:rsid w:val="001E0731"/>
    <w:rPr>
      <w:rFonts w:ascii="Times New Roman" w:eastAsia="Times New Roman" w:hAnsi="Times New Roman" w:cs="Times New Roman"/>
      <w:color w:val="FF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9">
    <w:name w:val="heading 9"/>
    <w:basedOn w:val="Navaden"/>
    <w:next w:val="Navaden"/>
    <w:link w:val="Naslov9Znak"/>
    <w:qFormat/>
    <w:rsid w:val="001E0731"/>
    <w:pPr>
      <w:keepNext/>
      <w:numPr>
        <w:numId w:val="2"/>
      </w:numPr>
      <w:tabs>
        <w:tab w:val="left" w:pos="360"/>
      </w:tabs>
      <w:spacing w:after="0" w:line="240" w:lineRule="auto"/>
      <w:jc w:val="center"/>
      <w:outlineLvl w:val="8"/>
    </w:pPr>
    <w:rPr>
      <w:rFonts w:ascii="Arial" w:eastAsia="Times New Roman" w:hAnsi="Arial" w:cs="Arial"/>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oc">
    <w:name w:val="doc"/>
    <w:basedOn w:val="Navaden"/>
    <w:rsid w:val="00352777"/>
    <w:pPr>
      <w:spacing w:after="75" w:line="300" w:lineRule="atLeast"/>
      <w:jc w:val="both"/>
    </w:pPr>
    <w:rPr>
      <w:rFonts w:ascii="Arial" w:eastAsia="Times New Roman" w:hAnsi="Arial" w:cs="Arial"/>
      <w:sz w:val="20"/>
      <w:szCs w:val="20"/>
      <w:lang w:eastAsia="sl-SI"/>
    </w:rPr>
  </w:style>
  <w:style w:type="paragraph" w:styleId="Odstavekseznama">
    <w:name w:val="List Paragraph"/>
    <w:basedOn w:val="Navaden"/>
    <w:uiPriority w:val="34"/>
    <w:qFormat/>
    <w:rsid w:val="00585A57"/>
    <w:pPr>
      <w:ind w:left="720"/>
      <w:contextualSpacing/>
    </w:pPr>
  </w:style>
  <w:style w:type="paragraph" w:styleId="Besedilooblaka">
    <w:name w:val="Balloon Text"/>
    <w:basedOn w:val="Navaden"/>
    <w:link w:val="BesedilooblakaZnak"/>
    <w:uiPriority w:val="99"/>
    <w:semiHidden/>
    <w:unhideWhenUsed/>
    <w:rsid w:val="00BE67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6727"/>
    <w:rPr>
      <w:rFonts w:ascii="Tahoma" w:hAnsi="Tahoma" w:cs="Tahoma"/>
      <w:sz w:val="16"/>
      <w:szCs w:val="16"/>
    </w:rPr>
  </w:style>
  <w:style w:type="character" w:styleId="Pripombasklic">
    <w:name w:val="annotation reference"/>
    <w:basedOn w:val="Privzetapisavaodstavka"/>
    <w:uiPriority w:val="99"/>
    <w:semiHidden/>
    <w:unhideWhenUsed/>
    <w:rsid w:val="001639C5"/>
    <w:rPr>
      <w:sz w:val="16"/>
      <w:szCs w:val="16"/>
    </w:rPr>
  </w:style>
  <w:style w:type="paragraph" w:styleId="Pripombabesedilo">
    <w:name w:val="annotation text"/>
    <w:basedOn w:val="Navaden"/>
    <w:link w:val="PripombabesediloZnak"/>
    <w:uiPriority w:val="99"/>
    <w:semiHidden/>
    <w:unhideWhenUsed/>
    <w:rsid w:val="001639C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639C5"/>
    <w:rPr>
      <w:sz w:val="20"/>
      <w:szCs w:val="20"/>
    </w:rPr>
  </w:style>
  <w:style w:type="paragraph" w:styleId="Zadevapripombe">
    <w:name w:val="annotation subject"/>
    <w:basedOn w:val="Pripombabesedilo"/>
    <w:next w:val="Pripombabesedilo"/>
    <w:link w:val="ZadevapripombeZnak"/>
    <w:uiPriority w:val="99"/>
    <w:semiHidden/>
    <w:unhideWhenUsed/>
    <w:rsid w:val="001639C5"/>
    <w:rPr>
      <w:b/>
      <w:bCs/>
    </w:rPr>
  </w:style>
  <w:style w:type="character" w:customStyle="1" w:styleId="ZadevapripombeZnak">
    <w:name w:val="Zadeva pripombe Znak"/>
    <w:basedOn w:val="PripombabesediloZnak"/>
    <w:link w:val="Zadevapripombe"/>
    <w:uiPriority w:val="99"/>
    <w:semiHidden/>
    <w:rsid w:val="001639C5"/>
    <w:rPr>
      <w:b/>
      <w:bCs/>
      <w:sz w:val="20"/>
      <w:szCs w:val="20"/>
    </w:rPr>
  </w:style>
  <w:style w:type="paragraph" w:styleId="Glava">
    <w:name w:val="header"/>
    <w:basedOn w:val="Navaden"/>
    <w:link w:val="GlavaZnak"/>
    <w:uiPriority w:val="99"/>
    <w:unhideWhenUsed/>
    <w:rsid w:val="00B64C0C"/>
    <w:pPr>
      <w:tabs>
        <w:tab w:val="center" w:pos="4536"/>
        <w:tab w:val="right" w:pos="9072"/>
      </w:tabs>
      <w:spacing w:after="0" w:line="240" w:lineRule="auto"/>
    </w:pPr>
  </w:style>
  <w:style w:type="character" w:customStyle="1" w:styleId="GlavaZnak">
    <w:name w:val="Glava Znak"/>
    <w:basedOn w:val="Privzetapisavaodstavka"/>
    <w:link w:val="Glava"/>
    <w:uiPriority w:val="99"/>
    <w:rsid w:val="00B64C0C"/>
  </w:style>
  <w:style w:type="paragraph" w:styleId="Noga">
    <w:name w:val="footer"/>
    <w:basedOn w:val="Navaden"/>
    <w:link w:val="NogaZnak"/>
    <w:uiPriority w:val="99"/>
    <w:unhideWhenUsed/>
    <w:rsid w:val="00B64C0C"/>
    <w:pPr>
      <w:tabs>
        <w:tab w:val="center" w:pos="4536"/>
        <w:tab w:val="right" w:pos="9072"/>
      </w:tabs>
      <w:spacing w:after="0" w:line="240" w:lineRule="auto"/>
    </w:pPr>
  </w:style>
  <w:style w:type="character" w:customStyle="1" w:styleId="NogaZnak">
    <w:name w:val="Noga Znak"/>
    <w:basedOn w:val="Privzetapisavaodstavka"/>
    <w:link w:val="Noga"/>
    <w:uiPriority w:val="99"/>
    <w:rsid w:val="00B64C0C"/>
  </w:style>
  <w:style w:type="table" w:styleId="Tabelamrea">
    <w:name w:val="Table Grid"/>
    <w:basedOn w:val="Navadnatabela"/>
    <w:uiPriority w:val="59"/>
    <w:rsid w:val="000D2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uiPriority w:val="99"/>
    <w:semiHidden/>
    <w:unhideWhenUsed/>
    <w:rsid w:val="003F5C5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F5C5F"/>
    <w:rPr>
      <w:sz w:val="20"/>
      <w:szCs w:val="20"/>
    </w:rPr>
  </w:style>
  <w:style w:type="character" w:styleId="Sprotnaopomba-sklic">
    <w:name w:val="footnote reference"/>
    <w:basedOn w:val="Privzetapisavaodstavka"/>
    <w:uiPriority w:val="99"/>
    <w:semiHidden/>
    <w:unhideWhenUsed/>
    <w:rsid w:val="003F5C5F"/>
    <w:rPr>
      <w:vertAlign w:val="superscript"/>
    </w:rPr>
  </w:style>
  <w:style w:type="character" w:customStyle="1" w:styleId="Naslov9Znak">
    <w:name w:val="Naslov 9 Znak"/>
    <w:basedOn w:val="Privzetapisavaodstavka"/>
    <w:link w:val="Naslov9"/>
    <w:rsid w:val="001E0731"/>
    <w:rPr>
      <w:rFonts w:ascii="Arial" w:eastAsia="Times New Roman" w:hAnsi="Arial" w:cs="Arial"/>
      <w:sz w:val="24"/>
      <w:szCs w:val="24"/>
      <w:lang w:eastAsia="sl-SI"/>
    </w:rPr>
  </w:style>
  <w:style w:type="paragraph" w:styleId="Telobesedila3">
    <w:name w:val="Body Text 3"/>
    <w:basedOn w:val="Navaden"/>
    <w:link w:val="Telobesedila3Znak"/>
    <w:rsid w:val="001E0731"/>
    <w:pPr>
      <w:spacing w:after="0" w:line="240" w:lineRule="auto"/>
      <w:jc w:val="both"/>
    </w:pPr>
    <w:rPr>
      <w:rFonts w:ascii="Times New Roman" w:eastAsia="Times New Roman" w:hAnsi="Times New Roman" w:cs="Times New Roman"/>
      <w:color w:val="FF0000"/>
      <w:sz w:val="24"/>
      <w:szCs w:val="24"/>
      <w:lang w:eastAsia="sl-SI"/>
    </w:rPr>
  </w:style>
  <w:style w:type="character" w:customStyle="1" w:styleId="Telobesedila3Znak">
    <w:name w:val="Telo besedila 3 Znak"/>
    <w:basedOn w:val="Privzetapisavaodstavka"/>
    <w:link w:val="Telobesedila3"/>
    <w:rsid w:val="001E0731"/>
    <w:rPr>
      <w:rFonts w:ascii="Times New Roman" w:eastAsia="Times New Roman" w:hAnsi="Times New Roman" w:cs="Times New Roman"/>
      <w:color w:val="FF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header2.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Id="rId14" Target="header3.xml" Type="http://schemas.openxmlformats.org/officeDocument/2006/relationships/header"/>
<Relationship Id="rId15" Target="footer3.xml" Type="http://schemas.openxmlformats.org/officeDocument/2006/relationships/footer"/>
<Relationship Id="rId16" Target="fontTable.xml" Type="http://schemas.openxmlformats.org/officeDocument/2006/relationships/fontTable"/>
<Relationship Id="rId17" Target="theme/theme1.xml" Type="http://schemas.openxmlformats.org/officeDocument/2006/relationships/theme"/>
<Relationship Id="rId18" Target="../customXml/item2.xml" Type="http://schemas.openxmlformats.org/officeDocument/2006/relationships/customXml"/>
<Relationship Id="rId19" Target="../customXml/item3.xml" Type="http://schemas.openxmlformats.org/officeDocument/2006/relationships/customXml"/>
<Relationship Id="rId2" Target="numbering.xml" Type="http://schemas.openxmlformats.org/officeDocument/2006/relationships/numbering"/>
<Relationship Id="rId20" Target="../customXml/item4.xml" Type="http://schemas.openxmlformats.org/officeDocument/2006/relationships/customXml"/>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emf" Type="http://schemas.openxmlformats.org/officeDocument/2006/relationships/image"/>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no"?>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35B8F-D9BC-45BC-ADB7-06B8D6EC6941}"/>
</file>

<file path=customXml/itemProps2.xml><?xml version="1.0" encoding="utf-8"?>
<ds:datastoreItem xmlns:ds="http://schemas.openxmlformats.org/officeDocument/2006/customXml" ds:itemID="{972E01A8-C5C8-4C90-B4A4-C4D5DA6EB795}"/>
</file>

<file path=customXml/itemProps3.xml><?xml version="1.0" encoding="utf-8"?>
<ds:datastoreItem xmlns:ds="http://schemas.openxmlformats.org/officeDocument/2006/customXml" ds:itemID="{FC23388D-25DB-4A23-BD6A-AF8C59057F42}"/>
</file>

<file path=customXml/itemProps4.xml><?xml version="1.0" encoding="utf-8"?>
<ds:datastoreItem xmlns:ds="http://schemas.openxmlformats.org/officeDocument/2006/customXml" ds:itemID="{F14EA01B-845E-4138-81B0-56A3DCB52A90}"/>
</file>

<file path=docProps/app.xml><?xml version="1.0" encoding="utf-8"?>
<Properties xmlns="http://schemas.openxmlformats.org/officeDocument/2006/extended-properties" xmlns:vt="http://schemas.openxmlformats.org/officeDocument/2006/docPropsVTypes">
  <Template/>
  <TotalTime>0</TotalTime>
  <Pages>6</Pages>
  <Words>1521</Words>
  <Characters>8675</Characters>
  <Application/>
  <DocSecurity>0</DocSecurity>
  <Lines>72</Lines>
  <Paragraphs>20</Paragraphs>
  <ScaleCrop>false</ScaleCrop>
  <HeadingPairs>
    <vt:vector baseType="variant" size="2">
      <vt:variant>
        <vt:lpstr>Naslov</vt:lpstr>
      </vt:variant>
      <vt:variant>
        <vt:i4>1</vt:i4>
      </vt:variant>
    </vt:vector>
  </HeadingPairs>
  <TitlesOfParts>
    <vt:vector baseType="lpstr" size="1">
      <vt:lpstr/>
    </vt:vector>
  </TitlesOfParts>
  <LinksUpToDate>false</LinksUpToDate>
  <CharactersWithSpaces>10176</CharactersWithSpaces>
  <SharedDoc>false</SharedDoc>
  <HyperlinksChanged>false</HyperlinksChanged>
  <AppVersion>14.0000</AppVersion>
  <Company/>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